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05C6" w14:textId="357D5E86" w:rsidR="00A94952" w:rsidRPr="00442AAC" w:rsidRDefault="009E686D" w:rsidP="00E9523F">
      <w:pPr>
        <w:jc w:val="right"/>
        <w:rPr>
          <w:rFonts w:ascii="Arial" w:hAnsi="Arial" w:cs="Arial"/>
          <w:sz w:val="32"/>
          <w:szCs w:val="32"/>
        </w:rPr>
      </w:pPr>
      <w:r w:rsidRPr="009E686D">
        <w:rPr>
          <w:rFonts w:ascii="Arial" w:hAnsi="Arial" w:cs="Arial"/>
          <w:b/>
          <w:bCs/>
          <w:noProof/>
          <w:sz w:val="32"/>
          <w:szCs w:val="32"/>
        </w:rPr>
        <mc:AlternateContent>
          <mc:Choice Requires="wps">
            <w:drawing>
              <wp:anchor distT="45720" distB="45720" distL="114300" distR="114300" simplePos="0" relativeHeight="251661312" behindDoc="0" locked="0" layoutInCell="1" allowOverlap="1" wp14:anchorId="444D373B" wp14:editId="37FCB3D0">
                <wp:simplePos x="0" y="0"/>
                <wp:positionH relativeFrom="column">
                  <wp:posOffset>3371850</wp:posOffset>
                </wp:positionH>
                <wp:positionV relativeFrom="paragraph">
                  <wp:posOffset>9525</wp:posOffset>
                </wp:positionV>
                <wp:extent cx="2320290" cy="857250"/>
                <wp:effectExtent l="0" t="0" r="381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857250"/>
                        </a:xfrm>
                        <a:prstGeom prst="rect">
                          <a:avLst/>
                        </a:prstGeom>
                        <a:solidFill>
                          <a:srgbClr val="FFFFFF"/>
                        </a:solidFill>
                        <a:ln w="9525">
                          <a:noFill/>
                          <a:miter lim="800000"/>
                          <a:headEnd/>
                          <a:tailEnd/>
                        </a:ln>
                      </wps:spPr>
                      <wps:txbx>
                        <w:txbxContent>
                          <w:p w14:paraId="1A4E51AD" w14:textId="6A8D112D" w:rsidR="009E686D" w:rsidRDefault="009E686D" w:rsidP="009E686D">
                            <w:r>
                              <w:rPr>
                                <w:rFonts w:ascii="Arial" w:hAnsi="Arial" w:cs="Arial"/>
                                <w:noProof/>
                                <w:sz w:val="32"/>
                                <w:szCs w:val="32"/>
                              </w:rPr>
                              <w:drawing>
                                <wp:inline distT="0" distB="0" distL="0" distR="0" wp14:anchorId="40D8E51B" wp14:editId="490B6397">
                                  <wp:extent cx="2126311" cy="619125"/>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311" cy="619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D373B" id="_x0000_t202" coordsize="21600,21600" o:spt="202" path="m,l,21600r21600,l21600,xe">
                <v:stroke joinstyle="miter"/>
                <v:path gradientshapeok="t" o:connecttype="rect"/>
              </v:shapetype>
              <v:shape id="Text Box 2" o:spid="_x0000_s1026" type="#_x0000_t202" style="position:absolute;left:0;text-align:left;margin-left:265.5pt;margin-top:.75pt;width:182.7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" stroked="f">
                <v:textbox>
                  <w:txbxContent>
                    <w:p w14:paraId="1A4E51AD" w14:textId="6A8D112D" w:rsidR="009E686D" w:rsidRDefault="009E686D" w:rsidP="009E686D">
                      <w:r>
                        <w:rPr>
                          <w:rFonts w:ascii="Arial" w:hAnsi="Arial" w:cs="Arial"/>
                          <w:noProof/>
                          <w:sz w:val="32"/>
                          <w:szCs w:val="32"/>
                        </w:rPr>
                        <w:drawing>
                          <wp:inline distT="0" distB="0" distL="0" distR="0" wp14:anchorId="40D8E51B" wp14:editId="490B6397">
                            <wp:extent cx="2126311" cy="619125"/>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311" cy="619125"/>
                                    </a:xfrm>
                                    <a:prstGeom prst="rect">
                                      <a:avLst/>
                                    </a:prstGeom>
                                    <a:noFill/>
                                    <a:ln>
                                      <a:noFill/>
                                    </a:ln>
                                  </pic:spPr>
                                </pic:pic>
                              </a:graphicData>
                            </a:graphic>
                          </wp:inline>
                        </w:drawing>
                      </w:r>
                    </w:p>
                  </w:txbxContent>
                </v:textbox>
                <w10:wrap type="square"/>
              </v:shape>
            </w:pict>
          </mc:Fallback>
        </mc:AlternateContent>
      </w:r>
      <w:r w:rsidR="00E9523F">
        <w:rPr>
          <w:color w:val="000000"/>
          <w:sz w:val="20"/>
          <w:szCs w:val="20"/>
          <w:shd w:val="clear" w:color="auto" w:fill="FFFFFF"/>
        </w:rPr>
        <w:br/>
      </w:r>
    </w:p>
    <w:p w14:paraId="27945816" w14:textId="039EB223" w:rsidR="00A94952" w:rsidRDefault="00A94952" w:rsidP="009F7C0A">
      <w:pPr>
        <w:jc w:val="center"/>
        <w:rPr>
          <w:rFonts w:ascii="Arial" w:hAnsi="Arial" w:cs="Arial"/>
          <w:b/>
          <w:bCs/>
          <w:sz w:val="32"/>
          <w:szCs w:val="32"/>
        </w:rPr>
      </w:pPr>
    </w:p>
    <w:p w14:paraId="6A73B882" w14:textId="77777777" w:rsidR="00A94952" w:rsidRDefault="00A94952" w:rsidP="009F7C0A">
      <w:pPr>
        <w:jc w:val="center"/>
        <w:rPr>
          <w:rFonts w:ascii="Arial" w:hAnsi="Arial" w:cs="Arial"/>
          <w:b/>
          <w:bCs/>
          <w:sz w:val="32"/>
          <w:szCs w:val="32"/>
        </w:rPr>
      </w:pPr>
    </w:p>
    <w:p w14:paraId="1889E057" w14:textId="52E9329E" w:rsidR="00283E88" w:rsidRDefault="00283E88" w:rsidP="008178BE">
      <w:pPr>
        <w:jc w:val="center"/>
        <w:rPr>
          <w:rFonts w:ascii="Arial" w:hAnsi="Arial" w:cs="Arial"/>
          <w:b/>
          <w:bCs/>
          <w:sz w:val="32"/>
          <w:szCs w:val="32"/>
        </w:rPr>
      </w:pPr>
      <w:r w:rsidRPr="009F7C0A">
        <w:rPr>
          <w:rFonts w:ascii="Arial" w:hAnsi="Arial" w:cs="Arial"/>
          <w:b/>
          <w:bCs/>
          <w:sz w:val="32"/>
          <w:szCs w:val="32"/>
        </w:rPr>
        <w:t xml:space="preserve">EIUG </w:t>
      </w:r>
      <w:r w:rsidR="008178BE">
        <w:rPr>
          <w:rFonts w:ascii="Arial" w:hAnsi="Arial" w:cs="Arial"/>
          <w:b/>
          <w:bCs/>
          <w:sz w:val="32"/>
          <w:szCs w:val="32"/>
        </w:rPr>
        <w:t xml:space="preserve">Response to the Consultation on the </w:t>
      </w:r>
      <w:r w:rsidR="008178BE" w:rsidRPr="008178BE">
        <w:rPr>
          <w:rFonts w:ascii="Arial" w:hAnsi="Arial" w:cs="Arial"/>
          <w:b/>
          <w:bCs/>
          <w:sz w:val="32"/>
          <w:szCs w:val="32"/>
        </w:rPr>
        <w:t>Strategy and Policy Statement for Energy Policy in Great Britain</w:t>
      </w:r>
    </w:p>
    <w:p w14:paraId="03ACC401" w14:textId="77777777" w:rsidR="00BC1B51" w:rsidRDefault="00BC1B51">
      <w:pPr>
        <w:rPr>
          <w:rFonts w:ascii="Arial" w:hAnsi="Arial" w:cs="Arial"/>
          <w:b/>
          <w:bCs/>
          <w:sz w:val="24"/>
          <w:szCs w:val="24"/>
          <w:u w:val="single"/>
        </w:rPr>
      </w:pPr>
    </w:p>
    <w:p w14:paraId="4BB86A94" w14:textId="484E6CB2" w:rsidR="00283E88" w:rsidRPr="006524A3" w:rsidRDefault="00283E88">
      <w:pPr>
        <w:rPr>
          <w:rFonts w:ascii="Arial" w:hAnsi="Arial" w:cs="Arial"/>
          <w:b/>
          <w:bCs/>
          <w:sz w:val="24"/>
          <w:szCs w:val="24"/>
          <w:u w:val="single"/>
        </w:rPr>
      </w:pPr>
      <w:r w:rsidRPr="006524A3">
        <w:rPr>
          <w:rFonts w:ascii="Arial" w:hAnsi="Arial" w:cs="Arial"/>
          <w:b/>
          <w:bCs/>
          <w:sz w:val="24"/>
          <w:szCs w:val="24"/>
          <w:u w:val="single"/>
        </w:rPr>
        <w:t>Introduction</w:t>
      </w:r>
    </w:p>
    <w:p w14:paraId="32FDC22E" w14:textId="15C2C9E1" w:rsidR="00042DCB" w:rsidRDefault="00042DCB" w:rsidP="009F7C0A">
      <w:pPr>
        <w:pStyle w:val="ListParagraph"/>
        <w:numPr>
          <w:ilvl w:val="0"/>
          <w:numId w:val="2"/>
        </w:numPr>
        <w:rPr>
          <w:rFonts w:ascii="Arial" w:hAnsi="Arial" w:cs="Arial"/>
          <w:sz w:val="24"/>
          <w:szCs w:val="24"/>
        </w:rPr>
      </w:pPr>
      <w:r w:rsidRPr="009F7C0A">
        <w:rPr>
          <w:rFonts w:ascii="Arial" w:hAnsi="Arial" w:cs="Arial"/>
          <w:sz w:val="24"/>
          <w:szCs w:val="24"/>
        </w:rPr>
        <w:t xml:space="preserve">The Energy Intensive Users Group (EIUG) is an umbrella organisation that represents the interests of energy intensive industrial (EII) consumers. Its objective is to achieve fair and competitive energy prices for British industry. It represents manufacturers of steel, chemicals, fertilisers, paper, glass, cement, lime, ceramics, and industrial gases. EIUG members produce materials which are essential inputs to UK manufacturing supply chains, including materials that support climate solutions in the energy, transport, construction, agriculture, and household sectors. They add an annual contribution of £29bn GVA to the UK economy and support 210,000 jobs directly and 800,000 jobs indirectly around the country. </w:t>
      </w:r>
    </w:p>
    <w:p w14:paraId="26C21185" w14:textId="77777777" w:rsidR="009F7C0A" w:rsidRDefault="009F7C0A" w:rsidP="009F7C0A">
      <w:pPr>
        <w:pStyle w:val="ListParagraph"/>
        <w:ind w:left="360"/>
        <w:rPr>
          <w:rFonts w:ascii="Arial" w:hAnsi="Arial" w:cs="Arial"/>
          <w:sz w:val="24"/>
          <w:szCs w:val="24"/>
        </w:rPr>
      </w:pPr>
    </w:p>
    <w:p w14:paraId="5F349CC6" w14:textId="26692B93" w:rsidR="00766883" w:rsidRDefault="00042DCB" w:rsidP="003E7AC7">
      <w:pPr>
        <w:pStyle w:val="ListParagraph"/>
        <w:numPr>
          <w:ilvl w:val="0"/>
          <w:numId w:val="2"/>
        </w:numPr>
        <w:rPr>
          <w:rFonts w:ascii="Arial" w:hAnsi="Arial" w:cs="Arial"/>
          <w:sz w:val="24"/>
          <w:szCs w:val="24"/>
        </w:rPr>
      </w:pPr>
      <w:r w:rsidRPr="009F7C0A">
        <w:rPr>
          <w:rFonts w:ascii="Arial" w:hAnsi="Arial" w:cs="Arial"/>
          <w:sz w:val="24"/>
          <w:szCs w:val="24"/>
        </w:rPr>
        <w:t xml:space="preserve">These industries are both energy and trade intensive – remaining located &amp; continuing to invest in the UK and competing globally requires secure, internationally competitive energy supplies and freedom to export without tariff barriers. However, inward investment, growth and competitiveness have been hampered for years by UK energy costs higher than those of international competitors. </w:t>
      </w:r>
    </w:p>
    <w:p w14:paraId="223F7C88" w14:textId="225496D1" w:rsidR="00372EFB" w:rsidRDefault="00372EFB" w:rsidP="00F563B9">
      <w:pPr>
        <w:pStyle w:val="ListParagraph"/>
        <w:ind w:left="360"/>
        <w:rPr>
          <w:rFonts w:ascii="Arial" w:hAnsi="Arial" w:cs="Arial"/>
          <w:sz w:val="24"/>
          <w:szCs w:val="24"/>
        </w:rPr>
      </w:pPr>
    </w:p>
    <w:p w14:paraId="57E3CC51" w14:textId="77777777" w:rsidR="00DF4266" w:rsidRDefault="00DF4266" w:rsidP="00DF4266">
      <w:pPr>
        <w:pStyle w:val="ListParagraph"/>
        <w:ind w:left="360"/>
        <w:rPr>
          <w:rFonts w:ascii="Arial" w:hAnsi="Arial" w:cs="Arial"/>
          <w:sz w:val="24"/>
          <w:szCs w:val="24"/>
        </w:rPr>
      </w:pPr>
    </w:p>
    <w:p w14:paraId="2BE0491E" w14:textId="0D50EB08" w:rsidR="00405E60" w:rsidRPr="00317076" w:rsidRDefault="008178BE" w:rsidP="008178BE">
      <w:pPr>
        <w:rPr>
          <w:rFonts w:ascii="Arial" w:hAnsi="Arial" w:cs="Arial"/>
          <w:b/>
          <w:bCs/>
          <w:i/>
          <w:iCs/>
          <w:sz w:val="24"/>
          <w:szCs w:val="24"/>
        </w:rPr>
      </w:pPr>
      <w:r w:rsidRPr="00317076">
        <w:rPr>
          <w:rFonts w:ascii="Arial" w:hAnsi="Arial" w:cs="Arial"/>
          <w:b/>
          <w:bCs/>
          <w:i/>
          <w:iCs/>
          <w:sz w:val="24"/>
          <w:szCs w:val="24"/>
        </w:rPr>
        <w:t>Does the strategy and policy statement identify the most important strategic priorities and policy outcomes for government in formulating policy for the energy sector in Great Britain? If not, please provide details of the priorities that you think should be included.</w:t>
      </w:r>
    </w:p>
    <w:p w14:paraId="1149A65E" w14:textId="77777777" w:rsidR="004C0167" w:rsidRDefault="008178BE" w:rsidP="00833C54">
      <w:pPr>
        <w:pStyle w:val="ListParagraph"/>
        <w:numPr>
          <w:ilvl w:val="0"/>
          <w:numId w:val="2"/>
        </w:numPr>
        <w:rPr>
          <w:rFonts w:ascii="Arial" w:hAnsi="Arial" w:cs="Arial"/>
          <w:sz w:val="24"/>
          <w:szCs w:val="24"/>
        </w:rPr>
      </w:pPr>
      <w:r w:rsidRPr="004C0167">
        <w:rPr>
          <w:rFonts w:ascii="Arial" w:hAnsi="Arial" w:cs="Arial"/>
          <w:sz w:val="24"/>
          <w:szCs w:val="24"/>
        </w:rPr>
        <w:t xml:space="preserve">It does not. The draft strategy and policy statement does not include the important strategic priority and policy outcome relating to </w:t>
      </w:r>
      <w:r w:rsidR="00C3697B" w:rsidRPr="004C0167">
        <w:rPr>
          <w:rFonts w:ascii="Arial" w:hAnsi="Arial" w:cs="Arial"/>
          <w:sz w:val="24"/>
          <w:szCs w:val="24"/>
        </w:rPr>
        <w:t xml:space="preserve">the </w:t>
      </w:r>
      <w:r w:rsidRPr="004C0167">
        <w:rPr>
          <w:rFonts w:ascii="Arial" w:hAnsi="Arial" w:cs="Arial"/>
          <w:sz w:val="24"/>
          <w:szCs w:val="24"/>
        </w:rPr>
        <w:t>mitigati</w:t>
      </w:r>
      <w:r w:rsidR="00C3697B" w:rsidRPr="004C0167">
        <w:rPr>
          <w:rFonts w:ascii="Arial" w:hAnsi="Arial" w:cs="Arial"/>
          <w:sz w:val="24"/>
          <w:szCs w:val="24"/>
        </w:rPr>
        <w:t>on of</w:t>
      </w:r>
      <w:r w:rsidRPr="004C0167">
        <w:rPr>
          <w:rFonts w:ascii="Arial" w:hAnsi="Arial" w:cs="Arial"/>
          <w:sz w:val="24"/>
          <w:szCs w:val="24"/>
        </w:rPr>
        <w:t xml:space="preserve"> the risk of carbon leakage. </w:t>
      </w:r>
    </w:p>
    <w:p w14:paraId="3C1C8F85" w14:textId="77777777" w:rsidR="004C0167" w:rsidRDefault="004C0167" w:rsidP="00B33C80">
      <w:pPr>
        <w:pStyle w:val="ListParagraph"/>
        <w:ind w:left="360"/>
        <w:rPr>
          <w:rFonts w:ascii="Arial" w:hAnsi="Arial" w:cs="Arial"/>
          <w:sz w:val="24"/>
          <w:szCs w:val="24"/>
        </w:rPr>
      </w:pPr>
    </w:p>
    <w:p w14:paraId="6CAC9AAD" w14:textId="41E1EB56" w:rsidR="007B21B5" w:rsidRPr="004C0167" w:rsidRDefault="005C1380" w:rsidP="00833C54">
      <w:pPr>
        <w:pStyle w:val="ListParagraph"/>
        <w:numPr>
          <w:ilvl w:val="0"/>
          <w:numId w:val="2"/>
        </w:numPr>
        <w:rPr>
          <w:rFonts w:ascii="Arial" w:hAnsi="Arial" w:cs="Arial"/>
          <w:sz w:val="24"/>
          <w:szCs w:val="24"/>
        </w:rPr>
      </w:pPr>
      <w:r w:rsidRPr="004C0167">
        <w:rPr>
          <w:rFonts w:ascii="Arial" w:hAnsi="Arial" w:cs="Arial"/>
          <w:sz w:val="24"/>
          <w:szCs w:val="24"/>
        </w:rPr>
        <w:t>The</w:t>
      </w:r>
      <w:r w:rsidR="0061344A" w:rsidRPr="004C0167">
        <w:rPr>
          <w:rFonts w:ascii="Arial" w:hAnsi="Arial" w:cs="Arial"/>
          <w:sz w:val="24"/>
          <w:szCs w:val="24"/>
        </w:rPr>
        <w:t xml:space="preserve"> strategies and papers the </w:t>
      </w:r>
      <w:r w:rsidR="000F323E">
        <w:rPr>
          <w:rFonts w:ascii="Arial" w:hAnsi="Arial" w:cs="Arial"/>
          <w:sz w:val="24"/>
          <w:szCs w:val="24"/>
        </w:rPr>
        <w:t xml:space="preserve">statement refers to </w:t>
      </w:r>
      <w:r w:rsidR="0061344A" w:rsidRPr="004C0167">
        <w:rPr>
          <w:rFonts w:ascii="Arial" w:hAnsi="Arial" w:cs="Arial"/>
          <w:sz w:val="24"/>
          <w:szCs w:val="24"/>
        </w:rPr>
        <w:t xml:space="preserve">recognise the importance of addressing the risk of carbon leakage to ensure that UK industry has the confidence needed to fully decarbonise in the UK. </w:t>
      </w:r>
      <w:r w:rsidR="000F323E">
        <w:rPr>
          <w:rFonts w:ascii="Arial" w:hAnsi="Arial" w:cs="Arial"/>
          <w:sz w:val="24"/>
          <w:szCs w:val="24"/>
        </w:rPr>
        <w:t>However, t</w:t>
      </w:r>
      <w:r w:rsidR="0061344A" w:rsidRPr="004C0167">
        <w:rPr>
          <w:rFonts w:ascii="Arial" w:hAnsi="Arial" w:cs="Arial"/>
          <w:sz w:val="24"/>
          <w:szCs w:val="24"/>
        </w:rPr>
        <w:t xml:space="preserve">his objective is not reflected in the relevant section of the </w:t>
      </w:r>
      <w:r w:rsidR="00401B7E">
        <w:rPr>
          <w:rFonts w:ascii="Arial" w:hAnsi="Arial" w:cs="Arial"/>
          <w:sz w:val="24"/>
          <w:szCs w:val="24"/>
        </w:rPr>
        <w:t>g</w:t>
      </w:r>
      <w:r w:rsidR="0061344A" w:rsidRPr="004C0167">
        <w:rPr>
          <w:rFonts w:ascii="Arial" w:hAnsi="Arial" w:cs="Arial"/>
          <w:sz w:val="24"/>
          <w:szCs w:val="24"/>
        </w:rPr>
        <w:t>overnment</w:t>
      </w:r>
      <w:r w:rsidR="00401B7E">
        <w:rPr>
          <w:rFonts w:ascii="Arial" w:hAnsi="Arial" w:cs="Arial"/>
          <w:sz w:val="24"/>
          <w:szCs w:val="24"/>
        </w:rPr>
        <w:t>’s</w:t>
      </w:r>
      <w:r w:rsidR="0061344A" w:rsidRPr="004C0167">
        <w:rPr>
          <w:rFonts w:ascii="Arial" w:hAnsi="Arial" w:cs="Arial"/>
          <w:sz w:val="24"/>
          <w:szCs w:val="24"/>
        </w:rPr>
        <w:t xml:space="preserve"> strategic priorities </w:t>
      </w:r>
      <w:r w:rsidR="00401B7E">
        <w:rPr>
          <w:rFonts w:ascii="Arial" w:hAnsi="Arial" w:cs="Arial"/>
          <w:sz w:val="24"/>
          <w:szCs w:val="24"/>
        </w:rPr>
        <w:t>although th</w:t>
      </w:r>
      <w:r w:rsidR="0074018C">
        <w:rPr>
          <w:rFonts w:ascii="Arial" w:hAnsi="Arial" w:cs="Arial"/>
          <w:sz w:val="24"/>
          <w:szCs w:val="24"/>
        </w:rPr>
        <w:t>is</w:t>
      </w:r>
      <w:r w:rsidR="005D2458" w:rsidRPr="004C0167">
        <w:rPr>
          <w:rFonts w:ascii="Arial" w:hAnsi="Arial" w:cs="Arial"/>
          <w:sz w:val="24"/>
          <w:szCs w:val="24"/>
        </w:rPr>
        <w:t xml:space="preserve"> is even more important since </w:t>
      </w:r>
      <w:r w:rsidR="007B21B5" w:rsidRPr="004C0167">
        <w:rPr>
          <w:rFonts w:ascii="Arial" w:hAnsi="Arial" w:cs="Arial"/>
          <w:sz w:val="24"/>
          <w:szCs w:val="24"/>
        </w:rPr>
        <w:t xml:space="preserve">the Energy Bill includes an amendment to the </w:t>
      </w:r>
      <w:r w:rsidR="007B21B5" w:rsidRPr="004C0167">
        <w:rPr>
          <w:rFonts w:ascii="Arial" w:hAnsi="Arial" w:cs="Arial"/>
          <w:sz w:val="24"/>
          <w:szCs w:val="24"/>
        </w:rPr>
        <w:lastRenderedPageBreak/>
        <w:t xml:space="preserve">existing duties of the Gas and Electricity Markets Authority referencing the net zero targets in the Climate Change Act 2008. </w:t>
      </w:r>
    </w:p>
    <w:p w14:paraId="3CFE632D" w14:textId="77777777" w:rsidR="0061344A" w:rsidRPr="0061344A" w:rsidRDefault="0061344A" w:rsidP="0061344A">
      <w:pPr>
        <w:pStyle w:val="ListParagraph"/>
        <w:rPr>
          <w:rFonts w:ascii="Arial" w:hAnsi="Arial" w:cs="Arial"/>
          <w:b/>
          <w:bCs/>
          <w:sz w:val="24"/>
          <w:szCs w:val="24"/>
          <w:u w:val="single"/>
        </w:rPr>
      </w:pPr>
    </w:p>
    <w:p w14:paraId="7286CD5F" w14:textId="2583BA39" w:rsidR="007B21B5" w:rsidRDefault="007B21B5" w:rsidP="00833C54">
      <w:pPr>
        <w:pStyle w:val="ListParagraph"/>
        <w:numPr>
          <w:ilvl w:val="0"/>
          <w:numId w:val="2"/>
        </w:numPr>
        <w:rPr>
          <w:rFonts w:ascii="Arial" w:hAnsi="Arial" w:cs="Arial"/>
          <w:sz w:val="24"/>
          <w:szCs w:val="24"/>
        </w:rPr>
      </w:pPr>
      <w:r>
        <w:rPr>
          <w:rFonts w:ascii="Arial" w:hAnsi="Arial" w:cs="Arial"/>
          <w:sz w:val="24"/>
          <w:szCs w:val="24"/>
        </w:rPr>
        <w:t xml:space="preserve">The abstracts from the various </w:t>
      </w:r>
      <w:r w:rsidR="0074018C">
        <w:rPr>
          <w:rFonts w:ascii="Arial" w:hAnsi="Arial" w:cs="Arial"/>
          <w:sz w:val="24"/>
          <w:szCs w:val="24"/>
        </w:rPr>
        <w:t>g</w:t>
      </w:r>
      <w:r>
        <w:rPr>
          <w:rFonts w:ascii="Arial" w:hAnsi="Arial" w:cs="Arial"/>
          <w:sz w:val="24"/>
          <w:szCs w:val="24"/>
        </w:rPr>
        <w:t>overnment strategies and papers below show that mitigating to risk of carbon leakage should also be one of the strategic priorities to be included in the strategy and policy statement and for Ofgem to have regard to</w:t>
      </w:r>
      <w:r w:rsidR="00BD36B6">
        <w:rPr>
          <w:rFonts w:ascii="Arial" w:hAnsi="Arial" w:cs="Arial"/>
          <w:sz w:val="24"/>
          <w:szCs w:val="24"/>
        </w:rPr>
        <w:t>.</w:t>
      </w:r>
    </w:p>
    <w:p w14:paraId="3881AADA" w14:textId="77777777" w:rsidR="007B21B5" w:rsidRPr="007B21B5" w:rsidRDefault="007B21B5" w:rsidP="007B21B5">
      <w:pPr>
        <w:pStyle w:val="ListParagraph"/>
        <w:rPr>
          <w:rFonts w:ascii="Arial" w:hAnsi="Arial" w:cs="Arial"/>
          <w:sz w:val="24"/>
          <w:szCs w:val="24"/>
        </w:rPr>
      </w:pPr>
    </w:p>
    <w:p w14:paraId="3FD6DE3E" w14:textId="332E5A5E" w:rsidR="0061344A" w:rsidRPr="005D2458" w:rsidRDefault="007B21B5" w:rsidP="00833C54">
      <w:pPr>
        <w:pStyle w:val="ListParagraph"/>
        <w:numPr>
          <w:ilvl w:val="0"/>
          <w:numId w:val="2"/>
        </w:numPr>
        <w:rPr>
          <w:rFonts w:ascii="Arial" w:hAnsi="Arial" w:cs="Arial"/>
          <w:sz w:val="24"/>
          <w:szCs w:val="24"/>
        </w:rPr>
      </w:pPr>
      <w:r w:rsidRPr="005C217D">
        <w:rPr>
          <w:rFonts w:ascii="Arial" w:hAnsi="Arial" w:cs="Arial"/>
          <w:b/>
          <w:bCs/>
          <w:sz w:val="24"/>
          <w:szCs w:val="24"/>
        </w:rPr>
        <w:t>Net Zero Growth Plan</w:t>
      </w:r>
      <w:r>
        <w:rPr>
          <w:rFonts w:ascii="Arial" w:hAnsi="Arial" w:cs="Arial"/>
          <w:sz w:val="24"/>
          <w:szCs w:val="24"/>
        </w:rPr>
        <w:t xml:space="preserve"> – “</w:t>
      </w:r>
      <w:r w:rsidR="005D2458" w:rsidRPr="007B21B5">
        <w:rPr>
          <w:rFonts w:ascii="Arial" w:hAnsi="Arial" w:cs="Arial"/>
          <w:i/>
          <w:iCs/>
          <w:sz w:val="24"/>
          <w:szCs w:val="24"/>
        </w:rPr>
        <w:t>We are determined that our efforts to decarbonise industry and reduce emissions are not undermined by carbon leakage. The consultation Addressing Carbon Leakage Risk to Support Decarbonisation, published alongside this plan, is a significant step forward in setting a new framework to mitigate this risk and considers a range of domestic policy options to protect against carbon leakage, including both a carbon border adjustment mechanism (CBAM) and mandatory product standards</w:t>
      </w:r>
      <w:r>
        <w:rPr>
          <w:rFonts w:ascii="Arial" w:hAnsi="Arial" w:cs="Arial"/>
          <w:sz w:val="24"/>
          <w:szCs w:val="24"/>
        </w:rPr>
        <w:t>”</w:t>
      </w:r>
      <w:r w:rsidR="005D2458" w:rsidRPr="005D2458">
        <w:rPr>
          <w:rFonts w:ascii="Arial" w:hAnsi="Arial" w:cs="Arial"/>
          <w:sz w:val="24"/>
          <w:szCs w:val="24"/>
        </w:rPr>
        <w:t xml:space="preserve"> (p</w:t>
      </w:r>
      <w:r>
        <w:rPr>
          <w:rFonts w:ascii="Arial" w:hAnsi="Arial" w:cs="Arial"/>
          <w:sz w:val="24"/>
          <w:szCs w:val="24"/>
        </w:rPr>
        <w:t>.</w:t>
      </w:r>
      <w:r w:rsidR="005D2458" w:rsidRPr="005D2458">
        <w:rPr>
          <w:rFonts w:ascii="Arial" w:hAnsi="Arial" w:cs="Arial"/>
          <w:sz w:val="24"/>
          <w:szCs w:val="24"/>
        </w:rPr>
        <w:t>49).</w:t>
      </w:r>
    </w:p>
    <w:p w14:paraId="3118D501" w14:textId="77777777" w:rsidR="0061344A" w:rsidRPr="0061344A" w:rsidRDefault="0061344A" w:rsidP="0061344A">
      <w:pPr>
        <w:pStyle w:val="ListParagraph"/>
        <w:rPr>
          <w:rFonts w:ascii="Arial" w:hAnsi="Arial" w:cs="Arial"/>
          <w:b/>
          <w:bCs/>
          <w:sz w:val="24"/>
          <w:szCs w:val="24"/>
          <w:u w:val="single"/>
        </w:rPr>
      </w:pPr>
    </w:p>
    <w:p w14:paraId="3D9D651E" w14:textId="3FDF6266" w:rsidR="0061344A" w:rsidRDefault="007B21B5" w:rsidP="007B21B5">
      <w:pPr>
        <w:pStyle w:val="ListParagraph"/>
        <w:numPr>
          <w:ilvl w:val="0"/>
          <w:numId w:val="2"/>
        </w:numPr>
        <w:rPr>
          <w:rFonts w:ascii="Arial" w:hAnsi="Arial" w:cs="Arial"/>
          <w:sz w:val="24"/>
          <w:szCs w:val="24"/>
        </w:rPr>
      </w:pPr>
      <w:r w:rsidRPr="005C217D">
        <w:rPr>
          <w:rFonts w:ascii="Arial" w:hAnsi="Arial" w:cs="Arial"/>
          <w:b/>
          <w:bCs/>
          <w:sz w:val="24"/>
          <w:szCs w:val="24"/>
        </w:rPr>
        <w:t>British Energy Security Strategy</w:t>
      </w:r>
      <w:r w:rsidRPr="00333729">
        <w:rPr>
          <w:rFonts w:ascii="Arial" w:hAnsi="Arial" w:cs="Arial"/>
          <w:sz w:val="24"/>
          <w:szCs w:val="24"/>
        </w:rPr>
        <w:t xml:space="preserve"> – “</w:t>
      </w:r>
      <w:r w:rsidRPr="00333729">
        <w:rPr>
          <w:rFonts w:ascii="Arial" w:hAnsi="Arial" w:cs="Arial"/>
          <w:i/>
          <w:iCs/>
          <w:sz w:val="24"/>
          <w:szCs w:val="24"/>
        </w:rPr>
        <w:t xml:space="preserve">The Government recognises that </w:t>
      </w:r>
      <w:bookmarkStart w:id="0" w:name="_Hlk140680560"/>
      <w:r w:rsidRPr="00333729">
        <w:rPr>
          <w:rFonts w:ascii="Arial" w:hAnsi="Arial" w:cs="Arial"/>
          <w:i/>
          <w:iCs/>
          <w:sz w:val="24"/>
          <w:szCs w:val="24"/>
        </w:rPr>
        <w:t xml:space="preserve">UK industrial electricity prices are higher than those of other countries </w:t>
      </w:r>
      <w:bookmarkEnd w:id="0"/>
      <w:r w:rsidRPr="00333729">
        <w:rPr>
          <w:rFonts w:ascii="Arial" w:hAnsi="Arial" w:cs="Arial"/>
          <w:i/>
          <w:iCs/>
          <w:sz w:val="24"/>
          <w:szCs w:val="24"/>
        </w:rPr>
        <w:t>and will act to address this. We will extend the Energy Intensive Industries (EII) Compensation Scheme for a further three years and intend to increase the aid intensity to up to 100</w:t>
      </w:r>
      <w:r w:rsidR="00333729" w:rsidRPr="00333729">
        <w:rPr>
          <w:rFonts w:ascii="Arial" w:hAnsi="Arial" w:cs="Arial"/>
          <w:i/>
          <w:iCs/>
          <w:sz w:val="24"/>
          <w:szCs w:val="24"/>
        </w:rPr>
        <w:t xml:space="preserve">% </w:t>
      </w:r>
      <w:r w:rsidRPr="00333729">
        <w:rPr>
          <w:rFonts w:ascii="Arial" w:hAnsi="Arial" w:cs="Arial"/>
          <w:i/>
          <w:iCs/>
          <w:sz w:val="24"/>
          <w:szCs w:val="24"/>
        </w:rPr>
        <w:t>(1.5</w:t>
      </w:r>
      <w:r w:rsidR="00333729" w:rsidRPr="00333729">
        <w:rPr>
          <w:rFonts w:ascii="Arial" w:hAnsi="Arial" w:cs="Arial"/>
          <w:i/>
          <w:iCs/>
          <w:sz w:val="24"/>
          <w:szCs w:val="24"/>
        </w:rPr>
        <w:t xml:space="preserve">% </w:t>
      </w:r>
      <w:r w:rsidRPr="00333729">
        <w:rPr>
          <w:rFonts w:ascii="Arial" w:hAnsi="Arial" w:cs="Arial"/>
          <w:i/>
          <w:iCs/>
          <w:sz w:val="24"/>
          <w:szCs w:val="24"/>
        </w:rPr>
        <w:t xml:space="preserve">of GVA). </w:t>
      </w:r>
      <w:r w:rsidR="00333729" w:rsidRPr="00333729">
        <w:rPr>
          <w:rFonts w:ascii="Arial" w:hAnsi="Arial" w:cs="Arial"/>
          <w:i/>
          <w:iCs/>
          <w:sz w:val="24"/>
          <w:szCs w:val="24"/>
        </w:rPr>
        <w:t xml:space="preserve">[…] </w:t>
      </w:r>
      <w:r w:rsidRPr="00333729">
        <w:rPr>
          <w:rFonts w:ascii="Arial" w:hAnsi="Arial" w:cs="Arial"/>
          <w:i/>
          <w:iCs/>
          <w:sz w:val="24"/>
          <w:szCs w:val="24"/>
        </w:rPr>
        <w:t>We will also consider other measures to support business including increasing the renewable obligation exemption to 10</w:t>
      </w:r>
      <w:r w:rsidR="00333729" w:rsidRPr="00333729">
        <w:rPr>
          <w:rFonts w:ascii="Arial" w:hAnsi="Arial" w:cs="Arial"/>
          <w:i/>
          <w:iCs/>
          <w:sz w:val="24"/>
          <w:szCs w:val="24"/>
        </w:rPr>
        <w:t>0%”</w:t>
      </w:r>
      <w:r w:rsidR="00333729">
        <w:rPr>
          <w:rFonts w:ascii="Arial" w:hAnsi="Arial" w:cs="Arial"/>
          <w:sz w:val="24"/>
          <w:szCs w:val="24"/>
        </w:rPr>
        <w:t xml:space="preserve"> (p.10)</w:t>
      </w:r>
      <w:r w:rsidRPr="00333729">
        <w:rPr>
          <w:rFonts w:ascii="Arial" w:hAnsi="Arial" w:cs="Arial"/>
          <w:i/>
          <w:iCs/>
          <w:sz w:val="24"/>
          <w:szCs w:val="24"/>
        </w:rPr>
        <w:t>.</w:t>
      </w:r>
      <w:r w:rsidR="00333729">
        <w:rPr>
          <w:rFonts w:ascii="Arial" w:hAnsi="Arial" w:cs="Arial"/>
          <w:i/>
          <w:iCs/>
          <w:sz w:val="24"/>
          <w:szCs w:val="24"/>
        </w:rPr>
        <w:t xml:space="preserve"> </w:t>
      </w:r>
      <w:r w:rsidR="00333729">
        <w:rPr>
          <w:rFonts w:ascii="Arial" w:hAnsi="Arial" w:cs="Arial"/>
          <w:sz w:val="24"/>
          <w:szCs w:val="24"/>
        </w:rPr>
        <w:t>The recent response to the review of the scheme</w:t>
      </w:r>
      <w:r w:rsidR="00BD36B6">
        <w:rPr>
          <w:rFonts w:ascii="Arial" w:hAnsi="Arial" w:cs="Arial"/>
          <w:sz w:val="24"/>
          <w:szCs w:val="24"/>
        </w:rPr>
        <w:t>s</w:t>
      </w:r>
      <w:r w:rsidR="00333729">
        <w:rPr>
          <w:rFonts w:ascii="Arial" w:hAnsi="Arial" w:cs="Arial"/>
          <w:sz w:val="24"/>
          <w:szCs w:val="24"/>
        </w:rPr>
        <w:t xml:space="preserve"> to partially exempt certain energy intensive industries from the cost of the renewable financing policies has confirmed that </w:t>
      </w:r>
      <w:r w:rsidR="005C217D">
        <w:rPr>
          <w:rFonts w:ascii="Arial" w:hAnsi="Arial" w:cs="Arial"/>
          <w:sz w:val="24"/>
          <w:szCs w:val="24"/>
        </w:rPr>
        <w:t xml:space="preserve">government </w:t>
      </w:r>
      <w:r w:rsidR="00333729">
        <w:rPr>
          <w:rFonts w:ascii="Arial" w:hAnsi="Arial" w:cs="Arial"/>
          <w:sz w:val="24"/>
          <w:szCs w:val="24"/>
        </w:rPr>
        <w:t xml:space="preserve">will implement full exemptions for these industries. </w:t>
      </w:r>
    </w:p>
    <w:p w14:paraId="33AAB91C" w14:textId="77777777" w:rsidR="00333729" w:rsidRPr="00333729" w:rsidRDefault="00333729" w:rsidP="00333729">
      <w:pPr>
        <w:pStyle w:val="ListParagraph"/>
        <w:rPr>
          <w:rFonts w:ascii="Arial" w:hAnsi="Arial" w:cs="Arial"/>
          <w:sz w:val="24"/>
          <w:szCs w:val="24"/>
        </w:rPr>
      </w:pPr>
    </w:p>
    <w:p w14:paraId="700AC797" w14:textId="144D8CF0" w:rsidR="0061344A" w:rsidRDefault="00333729" w:rsidP="00333729">
      <w:pPr>
        <w:pStyle w:val="ListParagraph"/>
        <w:numPr>
          <w:ilvl w:val="0"/>
          <w:numId w:val="2"/>
        </w:numPr>
        <w:rPr>
          <w:rFonts w:ascii="Arial" w:hAnsi="Arial" w:cs="Arial"/>
          <w:sz w:val="24"/>
          <w:szCs w:val="24"/>
        </w:rPr>
      </w:pPr>
      <w:r w:rsidRPr="005C217D">
        <w:rPr>
          <w:rFonts w:ascii="Arial" w:hAnsi="Arial" w:cs="Arial"/>
          <w:b/>
          <w:bCs/>
          <w:sz w:val="24"/>
          <w:szCs w:val="24"/>
        </w:rPr>
        <w:t>Net Zero Strategy</w:t>
      </w:r>
      <w:r w:rsidRPr="00333729">
        <w:rPr>
          <w:rFonts w:ascii="Arial" w:hAnsi="Arial" w:cs="Arial"/>
          <w:sz w:val="24"/>
          <w:szCs w:val="24"/>
        </w:rPr>
        <w:t xml:space="preserve"> – “</w:t>
      </w:r>
      <w:r w:rsidRPr="00333729">
        <w:rPr>
          <w:rFonts w:ascii="Arial" w:hAnsi="Arial" w:cs="Arial"/>
          <w:i/>
          <w:iCs/>
          <w:sz w:val="24"/>
          <w:szCs w:val="24"/>
        </w:rPr>
        <w:t>We recognise the importance of addressing the risk of carbon leakage so policy interventions do not lead to increased emissions elsewhere, and to ensure that UK industry has the confidence needed to fully decarbonise. The [Industrial Decarbonisation Strategy] and the Net Zero Review set out the potential options available to address this, including regulatory standards and Carbon Border Adjustment Mechanisms (CBAMs), as well as the ongoing review of our current carbon leakage mitigation policy of free allowances under the UK ETS. Government will continue to explore options to mitigate carbon leakage, with emphasis on an international, multilateral effort to tackle carbon leakage at source through global action on industrial decarbonisation and climate regulation, with continued monitoring of related global policy developments</w:t>
      </w:r>
      <w:r>
        <w:rPr>
          <w:rFonts w:ascii="Arial" w:hAnsi="Arial" w:cs="Arial"/>
          <w:sz w:val="24"/>
          <w:szCs w:val="24"/>
        </w:rPr>
        <w:t>”</w:t>
      </w:r>
      <w:r w:rsidRPr="00333729">
        <w:rPr>
          <w:rFonts w:ascii="Arial" w:hAnsi="Arial" w:cs="Arial"/>
          <w:sz w:val="24"/>
          <w:szCs w:val="24"/>
        </w:rPr>
        <w:t xml:space="preserve"> (</w:t>
      </w:r>
      <w:r>
        <w:rPr>
          <w:rFonts w:ascii="Arial" w:hAnsi="Arial" w:cs="Arial"/>
          <w:sz w:val="24"/>
          <w:szCs w:val="24"/>
        </w:rPr>
        <w:t>p</w:t>
      </w:r>
      <w:r w:rsidRPr="00333729">
        <w:rPr>
          <w:rFonts w:ascii="Arial" w:hAnsi="Arial" w:cs="Arial"/>
          <w:sz w:val="24"/>
          <w:szCs w:val="24"/>
        </w:rPr>
        <w:t>.122).</w:t>
      </w:r>
    </w:p>
    <w:p w14:paraId="65AF7E8C" w14:textId="77777777" w:rsidR="00333729" w:rsidRPr="00333729" w:rsidRDefault="00333729" w:rsidP="00333729">
      <w:pPr>
        <w:pStyle w:val="ListParagraph"/>
        <w:rPr>
          <w:rFonts w:ascii="Arial" w:hAnsi="Arial" w:cs="Arial"/>
          <w:sz w:val="24"/>
          <w:szCs w:val="24"/>
        </w:rPr>
      </w:pPr>
    </w:p>
    <w:p w14:paraId="4949976D" w14:textId="6BEB46F0" w:rsidR="00333729" w:rsidRPr="00333729" w:rsidRDefault="00333729" w:rsidP="00333729">
      <w:pPr>
        <w:pStyle w:val="ListParagraph"/>
        <w:numPr>
          <w:ilvl w:val="0"/>
          <w:numId w:val="2"/>
        </w:numPr>
        <w:rPr>
          <w:rFonts w:ascii="Arial" w:hAnsi="Arial" w:cs="Arial"/>
          <w:sz w:val="24"/>
          <w:szCs w:val="24"/>
        </w:rPr>
      </w:pPr>
      <w:r>
        <w:rPr>
          <w:rFonts w:ascii="Arial" w:hAnsi="Arial" w:cs="Arial"/>
          <w:sz w:val="24"/>
          <w:szCs w:val="24"/>
        </w:rPr>
        <w:t>“</w:t>
      </w:r>
      <w:r w:rsidRPr="00333729">
        <w:rPr>
          <w:rFonts w:ascii="Arial" w:hAnsi="Arial" w:cs="Arial"/>
          <w:i/>
          <w:iCs/>
          <w:sz w:val="24"/>
          <w:szCs w:val="24"/>
        </w:rPr>
        <w:t xml:space="preserve">The transition to net zero can stimulate innovation that increases domestic competitiveness and global comparative advantage for some UK industries, providing potential export opportunities. Updated internal analysis based on the Energy Innovation Needs Assessment estimates that just over half of the £60 billion GVA potential from sectoral decarbonisation in 2050 comes from export related opportunities. However, there will also be risks to sectors and industries </w:t>
      </w:r>
      <w:r w:rsidRPr="00333729">
        <w:rPr>
          <w:rFonts w:ascii="Arial" w:hAnsi="Arial" w:cs="Arial"/>
          <w:i/>
          <w:iCs/>
          <w:sz w:val="24"/>
          <w:szCs w:val="24"/>
        </w:rPr>
        <w:lastRenderedPageBreak/>
        <w:t>susceptible to competitiveness impacts, particularly those that are trade exposed and/or carbon intensive. Where UK firms lose market share to international firms with lower environmental standards, there is a risk of carbon leakage. There is little empirical evidence of this occurring in the UK to date, but risks could increase as further policy is implemented</w:t>
      </w:r>
      <w:r>
        <w:rPr>
          <w:rFonts w:ascii="Arial" w:hAnsi="Arial" w:cs="Arial"/>
          <w:sz w:val="24"/>
          <w:szCs w:val="24"/>
        </w:rPr>
        <w:t>” (p.329)</w:t>
      </w:r>
      <w:r w:rsidRPr="00333729">
        <w:rPr>
          <w:rFonts w:ascii="Arial" w:hAnsi="Arial" w:cs="Arial"/>
          <w:sz w:val="24"/>
          <w:szCs w:val="24"/>
        </w:rPr>
        <w:t>.</w:t>
      </w:r>
    </w:p>
    <w:p w14:paraId="27431E38" w14:textId="77777777" w:rsidR="00333729" w:rsidRPr="00333729" w:rsidRDefault="00333729" w:rsidP="00333729">
      <w:pPr>
        <w:pStyle w:val="ListParagraph"/>
        <w:ind w:left="360"/>
        <w:rPr>
          <w:rFonts w:ascii="Arial" w:hAnsi="Arial" w:cs="Arial"/>
          <w:sz w:val="24"/>
          <w:szCs w:val="24"/>
        </w:rPr>
      </w:pPr>
    </w:p>
    <w:p w14:paraId="0AE74785" w14:textId="519A834E" w:rsidR="00333729" w:rsidRPr="00333729" w:rsidRDefault="00333729" w:rsidP="00333729">
      <w:pPr>
        <w:pStyle w:val="ListParagraph"/>
        <w:numPr>
          <w:ilvl w:val="0"/>
          <w:numId w:val="2"/>
        </w:numPr>
        <w:rPr>
          <w:rFonts w:ascii="Arial" w:hAnsi="Arial" w:cs="Arial"/>
          <w:sz w:val="24"/>
          <w:szCs w:val="24"/>
        </w:rPr>
      </w:pPr>
      <w:r>
        <w:rPr>
          <w:rFonts w:ascii="Arial" w:hAnsi="Arial" w:cs="Arial"/>
          <w:sz w:val="24"/>
          <w:szCs w:val="24"/>
        </w:rPr>
        <w:t>“</w:t>
      </w:r>
      <w:r w:rsidRPr="000A7A93">
        <w:rPr>
          <w:rFonts w:ascii="Arial" w:hAnsi="Arial" w:cs="Arial"/>
          <w:i/>
          <w:iCs/>
          <w:sz w:val="24"/>
          <w:szCs w:val="24"/>
        </w:rPr>
        <w:t>The magnitude of competitiveness effects in international markets is dependent on global climate ambition as well as domestic policy. If other countries, particularly the UK’s trading partners, increase their industrial decarbonisation ambition in line with the UK’s, and face similar transition impacts, then competitiveness effects will be smaller. Similarly, where the UK’s path to net zero creates export opportunities for UK businesses, the size of these will depend on the actions of the rest of the world. High global climate ambition will result in a large market for decarbonisation technologies and services but may also result in more global competition in those markets</w:t>
      </w:r>
      <w:r>
        <w:rPr>
          <w:rFonts w:ascii="Arial" w:hAnsi="Arial" w:cs="Arial"/>
          <w:sz w:val="24"/>
          <w:szCs w:val="24"/>
        </w:rPr>
        <w:t>” (.329)</w:t>
      </w:r>
    </w:p>
    <w:p w14:paraId="1BC48715" w14:textId="1E49B630" w:rsidR="00A2792B" w:rsidRPr="00A2792B" w:rsidRDefault="00A2792B" w:rsidP="00A2792B">
      <w:pPr>
        <w:pStyle w:val="ListParagraph"/>
        <w:ind w:left="360"/>
        <w:rPr>
          <w:rFonts w:ascii="Arial" w:hAnsi="Arial" w:cs="Arial"/>
          <w:b/>
          <w:bCs/>
          <w:sz w:val="24"/>
          <w:szCs w:val="24"/>
          <w:u w:val="single"/>
        </w:rPr>
      </w:pPr>
    </w:p>
    <w:p w14:paraId="6B7C97C5" w14:textId="31A06507" w:rsidR="005E10AC" w:rsidRPr="000A7A93" w:rsidRDefault="000A7A93" w:rsidP="005B50C8">
      <w:pPr>
        <w:pStyle w:val="ListParagraph"/>
        <w:numPr>
          <w:ilvl w:val="0"/>
          <w:numId w:val="2"/>
        </w:numPr>
        <w:rPr>
          <w:rFonts w:ascii="Arial" w:hAnsi="Arial" w:cs="Arial"/>
          <w:b/>
          <w:bCs/>
          <w:sz w:val="24"/>
          <w:szCs w:val="24"/>
          <w:u w:val="single"/>
        </w:rPr>
      </w:pPr>
      <w:r w:rsidRPr="000F1CFE">
        <w:rPr>
          <w:rFonts w:ascii="Arial" w:hAnsi="Arial" w:cs="Arial"/>
          <w:b/>
          <w:bCs/>
          <w:sz w:val="24"/>
          <w:szCs w:val="24"/>
        </w:rPr>
        <w:t>Industrial Decarbonisation Strategy</w:t>
      </w:r>
      <w:r>
        <w:rPr>
          <w:rFonts w:ascii="Arial" w:hAnsi="Arial" w:cs="Arial"/>
          <w:sz w:val="24"/>
          <w:szCs w:val="24"/>
        </w:rPr>
        <w:t xml:space="preserve"> – “</w:t>
      </w:r>
      <w:r w:rsidRPr="000A7A93">
        <w:rPr>
          <w:rFonts w:ascii="Arial" w:hAnsi="Arial" w:cs="Arial"/>
          <w:i/>
          <w:iCs/>
          <w:sz w:val="24"/>
          <w:szCs w:val="24"/>
        </w:rPr>
        <w:t>Decarbonisation also creates challenges for industry. Many essential low carbon technologies are in earlier stages of development, and not yet deployed regularly at a commercial level. Low carbon manufacturing will also be more expensive for some sectors, leading to an increase in their costs, and therefore risking a reduction in their competitiveness. This creates a risk of “carbon leakage” (Chapter 2), which could impact both our domestic and global climate goals. We need to work with industry to overcome these barriers in the coming decades. Any action taken will need to be consistent with our international obligations, both under the Paris Agreement and wider international trade rules</w:t>
      </w:r>
      <w:r>
        <w:rPr>
          <w:rFonts w:ascii="Arial" w:hAnsi="Arial" w:cs="Arial"/>
          <w:sz w:val="24"/>
          <w:szCs w:val="24"/>
        </w:rPr>
        <w:t xml:space="preserve">” </w:t>
      </w:r>
      <w:r w:rsidRPr="000A7A93">
        <w:rPr>
          <w:rFonts w:ascii="Arial" w:hAnsi="Arial" w:cs="Arial"/>
          <w:sz w:val="24"/>
          <w:szCs w:val="24"/>
        </w:rPr>
        <w:t>(p. 18).</w:t>
      </w:r>
    </w:p>
    <w:p w14:paraId="28D8F607" w14:textId="77777777" w:rsidR="000A7A93" w:rsidRPr="000A7A93" w:rsidRDefault="000A7A93" w:rsidP="000A7A93">
      <w:pPr>
        <w:pStyle w:val="ListParagraph"/>
        <w:rPr>
          <w:rFonts w:ascii="Arial" w:hAnsi="Arial" w:cs="Arial"/>
          <w:b/>
          <w:bCs/>
          <w:sz w:val="24"/>
          <w:szCs w:val="24"/>
          <w:u w:val="single"/>
        </w:rPr>
      </w:pPr>
    </w:p>
    <w:p w14:paraId="5986F103" w14:textId="4E1662D9" w:rsidR="000A7A93" w:rsidRPr="00D150AA" w:rsidRDefault="000A7A93" w:rsidP="005B50C8">
      <w:pPr>
        <w:pStyle w:val="ListParagraph"/>
        <w:numPr>
          <w:ilvl w:val="0"/>
          <w:numId w:val="2"/>
        </w:numPr>
        <w:rPr>
          <w:rFonts w:ascii="Arial" w:hAnsi="Arial" w:cs="Arial"/>
          <w:b/>
          <w:bCs/>
          <w:sz w:val="24"/>
          <w:szCs w:val="24"/>
          <w:u w:val="single"/>
        </w:rPr>
      </w:pPr>
      <w:r>
        <w:rPr>
          <w:rFonts w:ascii="Arial" w:hAnsi="Arial" w:cs="Arial"/>
          <w:sz w:val="24"/>
          <w:szCs w:val="24"/>
        </w:rPr>
        <w:t>“</w:t>
      </w:r>
      <w:r w:rsidRPr="000A7A93">
        <w:rPr>
          <w:rFonts w:ascii="Arial" w:hAnsi="Arial" w:cs="Arial"/>
          <w:i/>
          <w:iCs/>
          <w:sz w:val="24"/>
          <w:szCs w:val="24"/>
        </w:rPr>
        <w:t>Where decarbonisation leads to significant costs that creates carbon leakage risk, it should be supported by targeted intervention to mitigate this risk”(</w:t>
      </w:r>
      <w:r w:rsidRPr="000A7A93">
        <w:rPr>
          <w:rFonts w:ascii="Arial" w:hAnsi="Arial" w:cs="Arial"/>
          <w:sz w:val="24"/>
          <w:szCs w:val="24"/>
        </w:rPr>
        <w:t>p. 19).</w:t>
      </w:r>
    </w:p>
    <w:p w14:paraId="02386A80" w14:textId="77777777" w:rsidR="00D150AA" w:rsidRPr="00306AFA" w:rsidRDefault="00D150AA" w:rsidP="00D150AA">
      <w:pPr>
        <w:pStyle w:val="ListParagraph"/>
        <w:ind w:left="360"/>
        <w:rPr>
          <w:rFonts w:ascii="Arial" w:hAnsi="Arial" w:cs="Arial"/>
          <w:b/>
          <w:bCs/>
          <w:sz w:val="24"/>
          <w:szCs w:val="24"/>
          <w:u w:val="single"/>
        </w:rPr>
      </w:pPr>
    </w:p>
    <w:p w14:paraId="24FEDAA4" w14:textId="583151BD" w:rsidR="00306AFA" w:rsidRPr="000A7A93" w:rsidRDefault="000A7A93" w:rsidP="000A7A93">
      <w:pPr>
        <w:pStyle w:val="ListParagraph"/>
        <w:numPr>
          <w:ilvl w:val="0"/>
          <w:numId w:val="2"/>
        </w:numPr>
        <w:rPr>
          <w:rFonts w:ascii="Arial" w:hAnsi="Arial" w:cs="Arial"/>
          <w:b/>
          <w:bCs/>
          <w:sz w:val="24"/>
          <w:szCs w:val="24"/>
          <w:u w:val="single"/>
        </w:rPr>
      </w:pPr>
      <w:r w:rsidRPr="000F1CFE">
        <w:rPr>
          <w:rFonts w:ascii="Arial" w:hAnsi="Arial" w:cs="Arial"/>
          <w:b/>
          <w:bCs/>
          <w:sz w:val="24"/>
          <w:szCs w:val="24"/>
        </w:rPr>
        <w:t>HMT Net Zero Review</w:t>
      </w:r>
      <w:r w:rsidRPr="000A7A93">
        <w:rPr>
          <w:rFonts w:ascii="Arial" w:hAnsi="Arial" w:cs="Arial"/>
          <w:sz w:val="24"/>
          <w:szCs w:val="24"/>
        </w:rPr>
        <w:t xml:space="preserve"> – “</w:t>
      </w:r>
      <w:r w:rsidRPr="000A7A93">
        <w:rPr>
          <w:rFonts w:ascii="Arial" w:hAnsi="Arial" w:cs="Arial"/>
          <w:i/>
          <w:iCs/>
          <w:sz w:val="24"/>
          <w:szCs w:val="24"/>
        </w:rPr>
        <w:t>2.20 Climate rules and policies designed to reduce emissions in a given country can increase the costs of production of its businesses (including indirectly because of the impact on the price of inputs, such as energy) relative to international competitors if those competitors are subject to weaker climate change mitigation policies. 2.21 If such rules and policies (such as carbon pricing, or other emissions reduction policies), are not implemented in an equivalent way across jurisdictions, this can result in production and the associated greenhouse gas (GHG) emissions being displaced, undermining the original environmental objective of climate mitigation policies - this displacement of GHG emissions is known as carbon leakage</w:t>
      </w:r>
      <w:r>
        <w:rPr>
          <w:rFonts w:ascii="Arial" w:hAnsi="Arial" w:cs="Arial"/>
          <w:sz w:val="24"/>
          <w:szCs w:val="24"/>
        </w:rPr>
        <w:t>”</w:t>
      </w:r>
      <w:r w:rsidRPr="000A7A93">
        <w:rPr>
          <w:rFonts w:ascii="Arial" w:hAnsi="Arial" w:cs="Arial"/>
          <w:sz w:val="24"/>
          <w:szCs w:val="24"/>
        </w:rPr>
        <w:t xml:space="preserve">. </w:t>
      </w:r>
      <w:r w:rsidR="00D150AA" w:rsidRPr="000A7A93">
        <w:rPr>
          <w:rFonts w:ascii="Arial" w:hAnsi="Arial" w:cs="Arial"/>
          <w:sz w:val="24"/>
          <w:szCs w:val="24"/>
        </w:rPr>
        <w:t xml:space="preserve"> </w:t>
      </w:r>
    </w:p>
    <w:p w14:paraId="516924F8" w14:textId="77777777" w:rsidR="000A7A93" w:rsidRPr="000A7A93" w:rsidRDefault="000A7A93" w:rsidP="000A7A93">
      <w:pPr>
        <w:pStyle w:val="ListParagraph"/>
        <w:rPr>
          <w:rFonts w:ascii="Arial" w:hAnsi="Arial" w:cs="Arial"/>
          <w:b/>
          <w:bCs/>
          <w:sz w:val="24"/>
          <w:szCs w:val="24"/>
          <w:u w:val="single"/>
        </w:rPr>
      </w:pPr>
    </w:p>
    <w:p w14:paraId="1B0EB6EE" w14:textId="08981FB6" w:rsidR="000A7A93" w:rsidRPr="00F07436" w:rsidRDefault="000A7A93" w:rsidP="00C3753D">
      <w:pPr>
        <w:pStyle w:val="ListParagraph"/>
        <w:numPr>
          <w:ilvl w:val="0"/>
          <w:numId w:val="2"/>
        </w:numPr>
        <w:rPr>
          <w:rFonts w:ascii="Arial" w:hAnsi="Arial" w:cs="Arial"/>
          <w:b/>
          <w:bCs/>
          <w:sz w:val="24"/>
          <w:szCs w:val="24"/>
          <w:u w:val="single"/>
        </w:rPr>
      </w:pPr>
      <w:r>
        <w:rPr>
          <w:rFonts w:ascii="Arial" w:hAnsi="Arial" w:cs="Arial"/>
          <w:sz w:val="24"/>
          <w:szCs w:val="24"/>
        </w:rPr>
        <w:t xml:space="preserve">Government has recognised the risk of carbon leakage and that </w:t>
      </w:r>
      <w:r w:rsidRPr="000A7A93">
        <w:rPr>
          <w:rFonts w:ascii="Arial" w:hAnsi="Arial" w:cs="Arial"/>
          <w:sz w:val="24"/>
          <w:szCs w:val="24"/>
        </w:rPr>
        <w:t>UK industrial electricity prices are higher than those of other countries</w:t>
      </w:r>
      <w:r>
        <w:rPr>
          <w:rFonts w:ascii="Arial" w:hAnsi="Arial" w:cs="Arial"/>
          <w:sz w:val="24"/>
          <w:szCs w:val="24"/>
        </w:rPr>
        <w:t xml:space="preserve"> and has therefore taken measures to mitigate this risk by reducing industrial electricity prices in particular by providing compensation for the indirect emission cost due to the UK ETS and carbon price support mechanism, </w:t>
      </w:r>
      <w:r w:rsidR="00F07436">
        <w:rPr>
          <w:rFonts w:ascii="Arial" w:hAnsi="Arial" w:cs="Arial"/>
          <w:sz w:val="24"/>
          <w:szCs w:val="24"/>
        </w:rPr>
        <w:t xml:space="preserve">full exemptions from the indirect cost due to </w:t>
      </w:r>
      <w:r w:rsidR="0027768C">
        <w:rPr>
          <w:rFonts w:ascii="Arial" w:hAnsi="Arial" w:cs="Arial"/>
          <w:sz w:val="24"/>
          <w:szCs w:val="24"/>
        </w:rPr>
        <w:t>its</w:t>
      </w:r>
      <w:r w:rsidR="00F07436">
        <w:rPr>
          <w:rFonts w:ascii="Arial" w:hAnsi="Arial" w:cs="Arial"/>
          <w:sz w:val="24"/>
          <w:szCs w:val="24"/>
        </w:rPr>
        <w:t xml:space="preserve"> </w:t>
      </w:r>
      <w:r w:rsidR="00F07436">
        <w:rPr>
          <w:rFonts w:ascii="Arial" w:hAnsi="Arial" w:cs="Arial"/>
          <w:sz w:val="24"/>
          <w:szCs w:val="24"/>
        </w:rPr>
        <w:lastRenderedPageBreak/>
        <w:t xml:space="preserve">renewable financing policies, reduction in the climate change levy in return for climate change agreements, exemption from the indirect cost of the capacity market levy and (part) compensation for network charges. </w:t>
      </w:r>
    </w:p>
    <w:p w14:paraId="1A49BAA2" w14:textId="77777777" w:rsidR="00F07436" w:rsidRPr="00F07436" w:rsidRDefault="00F07436" w:rsidP="00F07436">
      <w:pPr>
        <w:pStyle w:val="ListParagraph"/>
        <w:rPr>
          <w:rFonts w:ascii="Arial" w:hAnsi="Arial" w:cs="Arial"/>
          <w:b/>
          <w:bCs/>
          <w:sz w:val="24"/>
          <w:szCs w:val="24"/>
          <w:u w:val="single"/>
        </w:rPr>
      </w:pPr>
    </w:p>
    <w:p w14:paraId="0E1016DC" w14:textId="29A3BDF1" w:rsidR="00F07436" w:rsidRPr="00F76E5E" w:rsidRDefault="00F07436" w:rsidP="00F76E5E">
      <w:pPr>
        <w:pStyle w:val="ListParagraph"/>
        <w:numPr>
          <w:ilvl w:val="0"/>
          <w:numId w:val="2"/>
        </w:numPr>
        <w:rPr>
          <w:rFonts w:ascii="Arial" w:hAnsi="Arial" w:cs="Arial"/>
          <w:sz w:val="24"/>
          <w:szCs w:val="24"/>
        </w:rPr>
      </w:pPr>
      <w:r w:rsidRPr="00F76E5E">
        <w:rPr>
          <w:rFonts w:ascii="Arial" w:hAnsi="Arial" w:cs="Arial"/>
          <w:sz w:val="24"/>
          <w:szCs w:val="24"/>
        </w:rPr>
        <w:t xml:space="preserve">However, Ofgem has not taken the risk of carbon leakage into account in its regulatory decision-making and network charges (£/MWh) are higher for energy intensive industries in the </w:t>
      </w:r>
      <w:r w:rsidR="004A0E63">
        <w:rPr>
          <w:rFonts w:ascii="Arial" w:hAnsi="Arial" w:cs="Arial"/>
          <w:sz w:val="24"/>
          <w:szCs w:val="24"/>
        </w:rPr>
        <w:t>GB</w:t>
      </w:r>
      <w:r w:rsidRPr="00F76E5E">
        <w:rPr>
          <w:rFonts w:ascii="Arial" w:hAnsi="Arial" w:cs="Arial"/>
          <w:sz w:val="24"/>
          <w:szCs w:val="24"/>
        </w:rPr>
        <w:t xml:space="preserve"> </w:t>
      </w:r>
      <w:r w:rsidR="004A0E63">
        <w:rPr>
          <w:rFonts w:ascii="Arial" w:hAnsi="Arial" w:cs="Arial"/>
          <w:sz w:val="24"/>
          <w:szCs w:val="24"/>
        </w:rPr>
        <w:t>relative</w:t>
      </w:r>
      <w:r w:rsidRPr="00F76E5E">
        <w:rPr>
          <w:rFonts w:ascii="Arial" w:hAnsi="Arial" w:cs="Arial"/>
          <w:sz w:val="24"/>
          <w:szCs w:val="24"/>
        </w:rPr>
        <w:t xml:space="preserve"> to network charges in other European countries (see </w:t>
      </w:r>
      <w:hyperlink r:id="rId12" w:history="1">
        <w:r w:rsidR="00F76E5E" w:rsidRPr="00F76E5E">
          <w:rPr>
            <w:rStyle w:val="Hyperlink"/>
            <w:rFonts w:ascii="Arial" w:hAnsi="Arial" w:cs="Arial"/>
            <w:sz w:val="24"/>
            <w:szCs w:val="24"/>
          </w:rPr>
          <w:t>CEPA</w:t>
        </w:r>
      </w:hyperlink>
      <w:r w:rsidR="00F76E5E" w:rsidRPr="00F76E5E">
        <w:rPr>
          <w:rFonts w:ascii="Arial" w:hAnsi="Arial" w:cs="Arial"/>
          <w:sz w:val="24"/>
          <w:szCs w:val="24"/>
        </w:rPr>
        <w:t xml:space="preserve"> (2019) </w:t>
      </w:r>
      <w:r w:rsidR="00F76E5E" w:rsidRPr="00F76E5E">
        <w:rPr>
          <w:rFonts w:ascii="Arial" w:hAnsi="Arial" w:cs="Arial"/>
          <w:i/>
          <w:iCs/>
          <w:sz w:val="24"/>
          <w:szCs w:val="24"/>
        </w:rPr>
        <w:t>Allocation of Electricity Network Charges to Different Consumer Groups in Selected Countries</w:t>
      </w:r>
      <w:r w:rsidR="00F76E5E">
        <w:rPr>
          <w:rFonts w:ascii="Arial" w:hAnsi="Arial" w:cs="Arial"/>
          <w:sz w:val="24"/>
          <w:szCs w:val="24"/>
        </w:rPr>
        <w:t>).</w:t>
      </w:r>
    </w:p>
    <w:p w14:paraId="1E8C781E" w14:textId="77777777" w:rsidR="000A7A93" w:rsidRPr="000A7A93" w:rsidRDefault="000A7A93" w:rsidP="000A7A93">
      <w:pPr>
        <w:pStyle w:val="ListParagraph"/>
        <w:rPr>
          <w:rFonts w:ascii="Arial" w:hAnsi="Arial" w:cs="Arial"/>
          <w:sz w:val="24"/>
          <w:szCs w:val="24"/>
        </w:rPr>
      </w:pPr>
    </w:p>
    <w:p w14:paraId="44759348" w14:textId="6ECC1F57" w:rsidR="00D06DA9" w:rsidRDefault="000A7A93" w:rsidP="00F76E5E">
      <w:pPr>
        <w:pStyle w:val="ListParagraph"/>
        <w:numPr>
          <w:ilvl w:val="0"/>
          <w:numId w:val="2"/>
        </w:numPr>
        <w:rPr>
          <w:rFonts w:ascii="Arial" w:hAnsi="Arial" w:cs="Arial"/>
          <w:sz w:val="24"/>
          <w:szCs w:val="24"/>
        </w:rPr>
      </w:pPr>
      <w:r>
        <w:rPr>
          <w:rFonts w:ascii="Arial" w:hAnsi="Arial" w:cs="Arial"/>
          <w:sz w:val="24"/>
          <w:szCs w:val="24"/>
        </w:rPr>
        <w:t>To avoid (further) misalignment between Government and Ofgem</w:t>
      </w:r>
      <w:r w:rsidR="00F76E5E">
        <w:rPr>
          <w:rFonts w:ascii="Arial" w:hAnsi="Arial" w:cs="Arial"/>
          <w:sz w:val="24"/>
          <w:szCs w:val="24"/>
        </w:rPr>
        <w:t xml:space="preserve">, the strategy and policy statement should include </w:t>
      </w:r>
      <w:r w:rsidR="000F7226">
        <w:rPr>
          <w:rFonts w:ascii="Arial" w:hAnsi="Arial" w:cs="Arial"/>
          <w:sz w:val="24"/>
          <w:szCs w:val="24"/>
        </w:rPr>
        <w:t xml:space="preserve">the </w:t>
      </w:r>
      <w:r w:rsidR="00F76E5E">
        <w:rPr>
          <w:rFonts w:ascii="Arial" w:hAnsi="Arial" w:cs="Arial"/>
          <w:sz w:val="24"/>
          <w:szCs w:val="24"/>
        </w:rPr>
        <w:t xml:space="preserve">mitigation </w:t>
      </w:r>
      <w:r w:rsidR="000F7226">
        <w:rPr>
          <w:rFonts w:ascii="Arial" w:hAnsi="Arial" w:cs="Arial"/>
          <w:sz w:val="24"/>
          <w:szCs w:val="24"/>
        </w:rPr>
        <w:t>of the</w:t>
      </w:r>
      <w:r w:rsidR="00F76E5E">
        <w:rPr>
          <w:rFonts w:ascii="Arial" w:hAnsi="Arial" w:cs="Arial"/>
          <w:sz w:val="24"/>
          <w:szCs w:val="24"/>
        </w:rPr>
        <w:t xml:space="preserve"> risk of carbon leakage in </w:t>
      </w:r>
      <w:r w:rsidR="000F7226">
        <w:rPr>
          <w:rFonts w:ascii="Arial" w:hAnsi="Arial" w:cs="Arial"/>
          <w:sz w:val="24"/>
          <w:szCs w:val="24"/>
        </w:rPr>
        <w:t>its</w:t>
      </w:r>
      <w:r w:rsidR="00F76E5E">
        <w:rPr>
          <w:rFonts w:ascii="Arial" w:hAnsi="Arial" w:cs="Arial"/>
          <w:sz w:val="24"/>
          <w:szCs w:val="24"/>
        </w:rPr>
        <w:t xml:space="preserve"> priorities listed and for Ofgem to have regard to </w:t>
      </w:r>
      <w:r w:rsidR="00531690">
        <w:rPr>
          <w:rFonts w:ascii="Arial" w:hAnsi="Arial" w:cs="Arial"/>
          <w:sz w:val="24"/>
          <w:szCs w:val="24"/>
        </w:rPr>
        <w:t>mitigating th</w:t>
      </w:r>
      <w:r w:rsidR="005E49BD">
        <w:rPr>
          <w:rFonts w:ascii="Arial" w:hAnsi="Arial" w:cs="Arial"/>
          <w:sz w:val="24"/>
          <w:szCs w:val="24"/>
        </w:rPr>
        <w:t>e</w:t>
      </w:r>
      <w:r w:rsidR="00531690">
        <w:rPr>
          <w:rFonts w:ascii="Arial" w:hAnsi="Arial" w:cs="Arial"/>
          <w:sz w:val="24"/>
          <w:szCs w:val="24"/>
        </w:rPr>
        <w:t xml:space="preserve"> </w:t>
      </w:r>
      <w:r w:rsidR="00F76E5E">
        <w:rPr>
          <w:rFonts w:ascii="Arial" w:hAnsi="Arial" w:cs="Arial"/>
          <w:sz w:val="24"/>
          <w:szCs w:val="24"/>
        </w:rPr>
        <w:t>risk</w:t>
      </w:r>
      <w:r w:rsidR="005E49BD">
        <w:rPr>
          <w:rFonts w:ascii="Arial" w:hAnsi="Arial" w:cs="Arial"/>
          <w:sz w:val="24"/>
          <w:szCs w:val="24"/>
        </w:rPr>
        <w:t xml:space="preserve"> of carbon leakage</w:t>
      </w:r>
      <w:r w:rsidR="00F76E5E">
        <w:rPr>
          <w:rFonts w:ascii="Arial" w:hAnsi="Arial" w:cs="Arial"/>
          <w:sz w:val="24"/>
          <w:szCs w:val="24"/>
        </w:rPr>
        <w:t xml:space="preserve">. </w:t>
      </w:r>
    </w:p>
    <w:p w14:paraId="708A5585" w14:textId="77777777" w:rsidR="009744DA" w:rsidRPr="009744DA" w:rsidRDefault="009744DA" w:rsidP="009744DA">
      <w:pPr>
        <w:pStyle w:val="ListParagraph"/>
        <w:rPr>
          <w:rFonts w:ascii="Arial" w:hAnsi="Arial" w:cs="Arial"/>
          <w:sz w:val="24"/>
          <w:szCs w:val="24"/>
        </w:rPr>
      </w:pPr>
    </w:p>
    <w:p w14:paraId="0737537B" w14:textId="782CAB8B" w:rsidR="009744DA" w:rsidRPr="00146F86" w:rsidRDefault="009744DA" w:rsidP="009744DA">
      <w:pPr>
        <w:rPr>
          <w:rFonts w:ascii="Arial" w:hAnsi="Arial" w:cs="Arial"/>
          <w:b/>
          <w:bCs/>
          <w:i/>
          <w:iCs/>
          <w:sz w:val="24"/>
          <w:szCs w:val="24"/>
        </w:rPr>
      </w:pPr>
      <w:r w:rsidRPr="00146F86">
        <w:rPr>
          <w:rFonts w:ascii="Arial" w:hAnsi="Arial" w:cs="Arial"/>
          <w:b/>
          <w:bCs/>
          <w:i/>
          <w:iCs/>
          <w:sz w:val="24"/>
          <w:szCs w:val="24"/>
        </w:rPr>
        <w:t>Does the strategy and policy statement effectively set out the role of Ofgem in</w:t>
      </w:r>
      <w:r w:rsidRPr="00146F86">
        <w:rPr>
          <w:rFonts w:ascii="Arial" w:hAnsi="Arial" w:cs="Arial"/>
          <w:b/>
          <w:bCs/>
          <w:i/>
          <w:iCs/>
          <w:sz w:val="24"/>
          <w:szCs w:val="24"/>
        </w:rPr>
        <w:t xml:space="preserve"> </w:t>
      </w:r>
      <w:r w:rsidRPr="00146F86">
        <w:rPr>
          <w:rFonts w:ascii="Arial" w:hAnsi="Arial" w:cs="Arial"/>
          <w:b/>
          <w:bCs/>
          <w:i/>
          <w:iCs/>
          <w:sz w:val="24"/>
          <w:szCs w:val="24"/>
        </w:rPr>
        <w:t>supporting government to deliver its priorities? If not, please identify where these expectations could be made clearer.</w:t>
      </w:r>
    </w:p>
    <w:p w14:paraId="765BD9A8" w14:textId="77777777" w:rsidR="00531690" w:rsidRPr="00531690" w:rsidRDefault="00531690" w:rsidP="00531690">
      <w:pPr>
        <w:pStyle w:val="ListParagraph"/>
        <w:rPr>
          <w:rFonts w:ascii="Arial" w:hAnsi="Arial" w:cs="Arial"/>
          <w:sz w:val="24"/>
          <w:szCs w:val="24"/>
        </w:rPr>
      </w:pPr>
    </w:p>
    <w:p w14:paraId="46A300A0" w14:textId="7BD34459" w:rsidR="00531690" w:rsidRDefault="00B04608" w:rsidP="00F76E5E">
      <w:pPr>
        <w:pStyle w:val="ListParagraph"/>
        <w:numPr>
          <w:ilvl w:val="0"/>
          <w:numId w:val="2"/>
        </w:numPr>
        <w:rPr>
          <w:rFonts w:ascii="Arial" w:hAnsi="Arial" w:cs="Arial"/>
          <w:sz w:val="24"/>
          <w:szCs w:val="24"/>
        </w:rPr>
      </w:pPr>
      <w:r>
        <w:rPr>
          <w:rFonts w:ascii="Arial" w:hAnsi="Arial" w:cs="Arial"/>
          <w:sz w:val="24"/>
          <w:szCs w:val="24"/>
        </w:rPr>
        <w:t xml:space="preserve">The draft strategy and policy statement does not effectively set the role of Ofgem in supporting </w:t>
      </w:r>
      <w:r w:rsidR="0023712E">
        <w:rPr>
          <w:rFonts w:ascii="Arial" w:hAnsi="Arial" w:cs="Arial"/>
          <w:sz w:val="24"/>
          <w:szCs w:val="24"/>
        </w:rPr>
        <w:t>government to deliver its priorities.</w:t>
      </w:r>
    </w:p>
    <w:p w14:paraId="47FACE71" w14:textId="77777777" w:rsidR="00A54478" w:rsidRDefault="00A54478" w:rsidP="00A54478">
      <w:pPr>
        <w:pStyle w:val="ListParagraph"/>
        <w:ind w:left="360"/>
        <w:rPr>
          <w:rFonts w:ascii="Arial" w:hAnsi="Arial" w:cs="Arial"/>
          <w:sz w:val="24"/>
          <w:szCs w:val="24"/>
        </w:rPr>
      </w:pPr>
    </w:p>
    <w:p w14:paraId="4AD2D835" w14:textId="4CCD630F" w:rsidR="0023712E" w:rsidRDefault="00A54478" w:rsidP="00F76E5E">
      <w:pPr>
        <w:pStyle w:val="ListParagraph"/>
        <w:numPr>
          <w:ilvl w:val="0"/>
          <w:numId w:val="2"/>
        </w:numPr>
        <w:rPr>
          <w:rFonts w:ascii="Arial" w:hAnsi="Arial" w:cs="Arial"/>
          <w:sz w:val="24"/>
          <w:szCs w:val="24"/>
        </w:rPr>
      </w:pPr>
      <w:r>
        <w:rPr>
          <w:rFonts w:ascii="Arial" w:hAnsi="Arial" w:cs="Arial"/>
          <w:sz w:val="24"/>
          <w:szCs w:val="24"/>
        </w:rPr>
        <w:t>A</w:t>
      </w:r>
      <w:r w:rsidR="0023712E">
        <w:rPr>
          <w:rFonts w:ascii="Arial" w:hAnsi="Arial" w:cs="Arial"/>
          <w:sz w:val="24"/>
          <w:szCs w:val="24"/>
        </w:rPr>
        <w:t xml:space="preserve">s stated above, the statement does not </w:t>
      </w:r>
      <w:r w:rsidR="00CF4829">
        <w:rPr>
          <w:rFonts w:ascii="Arial" w:hAnsi="Arial" w:cs="Arial"/>
          <w:sz w:val="24"/>
          <w:szCs w:val="24"/>
        </w:rPr>
        <w:t>set the government</w:t>
      </w:r>
      <w:r>
        <w:rPr>
          <w:rFonts w:ascii="Arial" w:hAnsi="Arial" w:cs="Arial"/>
          <w:sz w:val="24"/>
          <w:szCs w:val="24"/>
        </w:rPr>
        <w:t>’s</w:t>
      </w:r>
      <w:r w:rsidR="00CF4829">
        <w:rPr>
          <w:rFonts w:ascii="Arial" w:hAnsi="Arial" w:cs="Arial"/>
          <w:sz w:val="24"/>
          <w:szCs w:val="24"/>
        </w:rPr>
        <w:t xml:space="preserve"> strategic priorities </w:t>
      </w:r>
      <w:r w:rsidR="00657D8D">
        <w:rPr>
          <w:rFonts w:ascii="Arial" w:hAnsi="Arial" w:cs="Arial"/>
          <w:sz w:val="24"/>
          <w:szCs w:val="24"/>
        </w:rPr>
        <w:t xml:space="preserve">in relation to </w:t>
      </w:r>
      <w:r w:rsidR="00960539">
        <w:rPr>
          <w:rFonts w:ascii="Arial" w:hAnsi="Arial" w:cs="Arial"/>
          <w:sz w:val="24"/>
          <w:szCs w:val="24"/>
        </w:rPr>
        <w:t xml:space="preserve">mitigating </w:t>
      </w:r>
      <w:r w:rsidR="00657D8D">
        <w:rPr>
          <w:rFonts w:ascii="Arial" w:hAnsi="Arial" w:cs="Arial"/>
          <w:sz w:val="24"/>
          <w:szCs w:val="24"/>
        </w:rPr>
        <w:t>the risk of carbon leakage</w:t>
      </w:r>
      <w:r w:rsidR="00960539">
        <w:rPr>
          <w:rFonts w:ascii="Arial" w:hAnsi="Arial" w:cs="Arial"/>
          <w:sz w:val="24"/>
          <w:szCs w:val="24"/>
        </w:rPr>
        <w:t>. T</w:t>
      </w:r>
      <w:r w:rsidR="00D90ABF">
        <w:rPr>
          <w:rFonts w:ascii="Arial" w:hAnsi="Arial" w:cs="Arial"/>
          <w:sz w:val="24"/>
          <w:szCs w:val="24"/>
        </w:rPr>
        <w:t xml:space="preserve">he section above gives </w:t>
      </w:r>
      <w:r w:rsidR="00E84721">
        <w:rPr>
          <w:rFonts w:ascii="Arial" w:hAnsi="Arial" w:cs="Arial"/>
          <w:sz w:val="24"/>
          <w:szCs w:val="24"/>
        </w:rPr>
        <w:t>the relevant abstracts of the various government strateg</w:t>
      </w:r>
      <w:r w:rsidR="00960539">
        <w:rPr>
          <w:rFonts w:ascii="Arial" w:hAnsi="Arial" w:cs="Arial"/>
          <w:sz w:val="24"/>
          <w:szCs w:val="24"/>
        </w:rPr>
        <w:t>ies a</w:t>
      </w:r>
      <w:r w:rsidR="00E84721">
        <w:rPr>
          <w:rFonts w:ascii="Arial" w:hAnsi="Arial" w:cs="Arial"/>
          <w:sz w:val="24"/>
          <w:szCs w:val="24"/>
        </w:rPr>
        <w:t xml:space="preserve">nd papers. </w:t>
      </w:r>
    </w:p>
    <w:p w14:paraId="4AEC4B04" w14:textId="77777777" w:rsidR="004625EC" w:rsidRPr="004625EC" w:rsidRDefault="004625EC" w:rsidP="004625EC">
      <w:pPr>
        <w:pStyle w:val="ListParagraph"/>
        <w:rPr>
          <w:rFonts w:ascii="Arial" w:hAnsi="Arial" w:cs="Arial"/>
          <w:sz w:val="24"/>
          <w:szCs w:val="24"/>
        </w:rPr>
      </w:pPr>
    </w:p>
    <w:p w14:paraId="5B8B9414" w14:textId="4364DC37" w:rsidR="00E84721" w:rsidRDefault="007D11A4" w:rsidP="00F76E5E">
      <w:pPr>
        <w:pStyle w:val="ListParagraph"/>
        <w:numPr>
          <w:ilvl w:val="0"/>
          <w:numId w:val="2"/>
        </w:numPr>
        <w:rPr>
          <w:rFonts w:ascii="Arial" w:hAnsi="Arial" w:cs="Arial"/>
          <w:sz w:val="24"/>
          <w:szCs w:val="24"/>
        </w:rPr>
      </w:pPr>
      <w:r>
        <w:rPr>
          <w:rFonts w:ascii="Arial" w:hAnsi="Arial" w:cs="Arial"/>
          <w:sz w:val="24"/>
          <w:szCs w:val="24"/>
        </w:rPr>
        <w:t>The EIUG suggest</w:t>
      </w:r>
      <w:r w:rsidR="004625EC">
        <w:rPr>
          <w:rFonts w:ascii="Arial" w:hAnsi="Arial" w:cs="Arial"/>
          <w:sz w:val="24"/>
          <w:szCs w:val="24"/>
        </w:rPr>
        <w:t>s</w:t>
      </w:r>
      <w:r>
        <w:rPr>
          <w:rFonts w:ascii="Arial" w:hAnsi="Arial" w:cs="Arial"/>
          <w:sz w:val="24"/>
          <w:szCs w:val="24"/>
        </w:rPr>
        <w:t xml:space="preserve"> that </w:t>
      </w:r>
      <w:r w:rsidR="006D36D4">
        <w:rPr>
          <w:rFonts w:ascii="Arial" w:hAnsi="Arial" w:cs="Arial"/>
          <w:sz w:val="24"/>
          <w:szCs w:val="24"/>
        </w:rPr>
        <w:t>the role of Ofgem in supporting the government to deliver on its priority to mitigate the risk of carbon leakage should include the following:</w:t>
      </w:r>
    </w:p>
    <w:p w14:paraId="2AFCF8FF" w14:textId="1BAAACC2" w:rsidR="006D36D4" w:rsidRDefault="00A27D65" w:rsidP="00C96F67">
      <w:pPr>
        <w:pStyle w:val="ListParagraph"/>
        <w:numPr>
          <w:ilvl w:val="0"/>
          <w:numId w:val="13"/>
        </w:numPr>
        <w:rPr>
          <w:rFonts w:ascii="Arial" w:hAnsi="Arial" w:cs="Arial"/>
          <w:sz w:val="24"/>
          <w:szCs w:val="24"/>
        </w:rPr>
      </w:pPr>
      <w:r>
        <w:rPr>
          <w:rFonts w:ascii="Arial" w:hAnsi="Arial" w:cs="Arial"/>
          <w:sz w:val="24"/>
          <w:szCs w:val="24"/>
        </w:rPr>
        <w:t>Assess the redistributive</w:t>
      </w:r>
      <w:r w:rsidR="000E2E78">
        <w:rPr>
          <w:rFonts w:ascii="Arial" w:hAnsi="Arial" w:cs="Arial"/>
          <w:sz w:val="24"/>
          <w:szCs w:val="24"/>
        </w:rPr>
        <w:t xml:space="preserve"> </w:t>
      </w:r>
      <w:r>
        <w:rPr>
          <w:rFonts w:ascii="Arial" w:hAnsi="Arial" w:cs="Arial"/>
          <w:sz w:val="24"/>
          <w:szCs w:val="24"/>
        </w:rPr>
        <w:t xml:space="preserve">impact </w:t>
      </w:r>
      <w:r w:rsidR="000E2E78">
        <w:rPr>
          <w:rFonts w:ascii="Arial" w:hAnsi="Arial" w:cs="Arial"/>
          <w:sz w:val="24"/>
          <w:szCs w:val="24"/>
        </w:rPr>
        <w:t>of its regulatory decision</w:t>
      </w:r>
      <w:r w:rsidR="002C2E4E">
        <w:rPr>
          <w:rFonts w:ascii="Arial" w:hAnsi="Arial" w:cs="Arial"/>
          <w:sz w:val="24"/>
          <w:szCs w:val="24"/>
        </w:rPr>
        <w:t xml:space="preserve">s on </w:t>
      </w:r>
      <w:r w:rsidR="00A86A2A">
        <w:rPr>
          <w:rFonts w:ascii="Arial" w:hAnsi="Arial" w:cs="Arial"/>
          <w:sz w:val="24"/>
          <w:szCs w:val="24"/>
        </w:rPr>
        <w:t>different consumer group</w:t>
      </w:r>
      <w:r w:rsidR="008D0FCC">
        <w:rPr>
          <w:rFonts w:ascii="Arial" w:hAnsi="Arial" w:cs="Arial"/>
          <w:sz w:val="24"/>
          <w:szCs w:val="24"/>
        </w:rPr>
        <w:t>s</w:t>
      </w:r>
      <w:r w:rsidR="00A86A2A">
        <w:rPr>
          <w:rFonts w:ascii="Arial" w:hAnsi="Arial" w:cs="Arial"/>
          <w:sz w:val="24"/>
          <w:szCs w:val="24"/>
        </w:rPr>
        <w:t>, including energy intensive industries</w:t>
      </w:r>
      <w:r w:rsidR="00B83A88">
        <w:rPr>
          <w:rFonts w:ascii="Arial" w:hAnsi="Arial" w:cs="Arial"/>
          <w:sz w:val="24"/>
          <w:szCs w:val="24"/>
        </w:rPr>
        <w:t xml:space="preserve">, and </w:t>
      </w:r>
      <w:r w:rsidR="00C5727C">
        <w:rPr>
          <w:rFonts w:ascii="Arial" w:hAnsi="Arial" w:cs="Arial"/>
          <w:sz w:val="24"/>
          <w:szCs w:val="24"/>
        </w:rPr>
        <w:t xml:space="preserve">avoid that certain </w:t>
      </w:r>
      <w:r w:rsidR="000A5A5D">
        <w:rPr>
          <w:rFonts w:ascii="Arial" w:hAnsi="Arial" w:cs="Arial"/>
          <w:sz w:val="24"/>
          <w:szCs w:val="24"/>
        </w:rPr>
        <w:t>groups</w:t>
      </w:r>
      <w:r w:rsidR="00414671">
        <w:rPr>
          <w:rFonts w:ascii="Arial" w:hAnsi="Arial" w:cs="Arial"/>
          <w:sz w:val="24"/>
          <w:szCs w:val="24"/>
        </w:rPr>
        <w:t xml:space="preserve"> </w:t>
      </w:r>
      <w:r w:rsidR="006B48AD">
        <w:rPr>
          <w:rFonts w:ascii="Arial" w:hAnsi="Arial" w:cs="Arial"/>
          <w:sz w:val="24"/>
          <w:szCs w:val="24"/>
        </w:rPr>
        <w:t xml:space="preserve">structurally face </w:t>
      </w:r>
      <w:r w:rsidR="00324755">
        <w:rPr>
          <w:rFonts w:ascii="Arial" w:hAnsi="Arial" w:cs="Arial"/>
          <w:sz w:val="24"/>
          <w:szCs w:val="24"/>
        </w:rPr>
        <w:t xml:space="preserve">a </w:t>
      </w:r>
      <w:r w:rsidR="00061223">
        <w:rPr>
          <w:rFonts w:ascii="Arial" w:hAnsi="Arial" w:cs="Arial"/>
          <w:sz w:val="24"/>
          <w:szCs w:val="24"/>
        </w:rPr>
        <w:t xml:space="preserve">higher </w:t>
      </w:r>
      <w:r w:rsidR="006B48AD">
        <w:rPr>
          <w:rFonts w:ascii="Arial" w:hAnsi="Arial" w:cs="Arial"/>
          <w:sz w:val="24"/>
          <w:szCs w:val="24"/>
        </w:rPr>
        <w:t>price increase</w:t>
      </w:r>
      <w:r w:rsidR="00205A22">
        <w:rPr>
          <w:rFonts w:ascii="Arial" w:hAnsi="Arial" w:cs="Arial"/>
          <w:sz w:val="24"/>
          <w:szCs w:val="24"/>
        </w:rPr>
        <w:t>s</w:t>
      </w:r>
      <w:r w:rsidR="006B48AD">
        <w:rPr>
          <w:rFonts w:ascii="Arial" w:hAnsi="Arial" w:cs="Arial"/>
          <w:sz w:val="24"/>
          <w:szCs w:val="24"/>
        </w:rPr>
        <w:t xml:space="preserve"> relative to other</w:t>
      </w:r>
      <w:r w:rsidR="00205A22">
        <w:rPr>
          <w:rFonts w:ascii="Arial" w:hAnsi="Arial" w:cs="Arial"/>
          <w:sz w:val="24"/>
          <w:szCs w:val="24"/>
        </w:rPr>
        <w:t xml:space="preserve">s </w:t>
      </w:r>
      <w:r w:rsidR="00061223">
        <w:rPr>
          <w:rFonts w:ascii="Arial" w:hAnsi="Arial" w:cs="Arial"/>
          <w:sz w:val="24"/>
          <w:szCs w:val="24"/>
        </w:rPr>
        <w:t>due to its decision-making;</w:t>
      </w:r>
    </w:p>
    <w:p w14:paraId="2E535F9F" w14:textId="67F7F114" w:rsidR="00061223" w:rsidRDefault="008E056E" w:rsidP="00C96F67">
      <w:pPr>
        <w:pStyle w:val="ListParagraph"/>
        <w:numPr>
          <w:ilvl w:val="0"/>
          <w:numId w:val="13"/>
        </w:numPr>
        <w:rPr>
          <w:rFonts w:ascii="Arial" w:hAnsi="Arial" w:cs="Arial"/>
          <w:sz w:val="24"/>
          <w:szCs w:val="24"/>
        </w:rPr>
      </w:pPr>
      <w:r>
        <w:rPr>
          <w:rFonts w:ascii="Arial" w:hAnsi="Arial" w:cs="Arial"/>
          <w:sz w:val="24"/>
          <w:szCs w:val="24"/>
        </w:rPr>
        <w:t xml:space="preserve">Work with government </w:t>
      </w:r>
      <w:r w:rsidR="00143D2D">
        <w:rPr>
          <w:rFonts w:ascii="Arial" w:hAnsi="Arial" w:cs="Arial"/>
          <w:sz w:val="24"/>
          <w:szCs w:val="24"/>
        </w:rPr>
        <w:t xml:space="preserve">so it has up to date and forward-looking retail energy price data, in particular </w:t>
      </w:r>
      <w:r w:rsidR="00296669">
        <w:rPr>
          <w:rFonts w:ascii="Arial" w:hAnsi="Arial" w:cs="Arial"/>
          <w:sz w:val="24"/>
          <w:szCs w:val="24"/>
        </w:rPr>
        <w:t>around the impact of network charging.</w:t>
      </w:r>
    </w:p>
    <w:p w14:paraId="4928D9E4" w14:textId="4A52389B" w:rsidR="00296669" w:rsidRDefault="007009F6" w:rsidP="00C96F67">
      <w:pPr>
        <w:pStyle w:val="ListParagraph"/>
        <w:numPr>
          <w:ilvl w:val="0"/>
          <w:numId w:val="13"/>
        </w:numPr>
        <w:rPr>
          <w:rFonts w:ascii="Arial" w:hAnsi="Arial" w:cs="Arial"/>
          <w:sz w:val="24"/>
          <w:szCs w:val="24"/>
        </w:rPr>
      </w:pPr>
      <w:r>
        <w:rPr>
          <w:rFonts w:ascii="Arial" w:hAnsi="Arial" w:cs="Arial"/>
          <w:sz w:val="24"/>
          <w:szCs w:val="24"/>
        </w:rPr>
        <w:t xml:space="preserve">Support </w:t>
      </w:r>
      <w:r w:rsidR="00C90F2F">
        <w:rPr>
          <w:rFonts w:ascii="Arial" w:hAnsi="Arial" w:cs="Arial"/>
          <w:sz w:val="24"/>
          <w:szCs w:val="24"/>
        </w:rPr>
        <w:t>the adminis</w:t>
      </w:r>
      <w:r w:rsidR="00F25AB9">
        <w:rPr>
          <w:rFonts w:ascii="Arial" w:hAnsi="Arial" w:cs="Arial"/>
          <w:sz w:val="24"/>
          <w:szCs w:val="24"/>
        </w:rPr>
        <w:t>trator</w:t>
      </w:r>
      <w:r w:rsidR="00C90F2F">
        <w:rPr>
          <w:rFonts w:ascii="Arial" w:hAnsi="Arial" w:cs="Arial"/>
          <w:sz w:val="24"/>
          <w:szCs w:val="24"/>
        </w:rPr>
        <w:t xml:space="preserve"> </w:t>
      </w:r>
      <w:r w:rsidR="00C0207E">
        <w:rPr>
          <w:rFonts w:ascii="Arial" w:hAnsi="Arial" w:cs="Arial"/>
          <w:sz w:val="24"/>
          <w:szCs w:val="24"/>
        </w:rPr>
        <w:t xml:space="preserve">that will administer the </w:t>
      </w:r>
      <w:hyperlink r:id="rId13" w:anchor=":~:text=The%20NCC%20Scheme%20is%20to,and%20to%20appoint%20an%20administrator." w:history="1">
        <w:r w:rsidR="00C0207E" w:rsidRPr="00F53B66">
          <w:rPr>
            <w:rStyle w:val="Hyperlink"/>
            <w:rFonts w:ascii="Arial" w:hAnsi="Arial" w:cs="Arial"/>
            <w:sz w:val="24"/>
            <w:szCs w:val="24"/>
          </w:rPr>
          <w:t>network charg</w:t>
        </w:r>
        <w:r w:rsidR="000F1DBB" w:rsidRPr="00F53B66">
          <w:rPr>
            <w:rStyle w:val="Hyperlink"/>
            <w:rFonts w:ascii="Arial" w:hAnsi="Arial" w:cs="Arial"/>
            <w:sz w:val="24"/>
            <w:szCs w:val="24"/>
          </w:rPr>
          <w:t>ing</w:t>
        </w:r>
        <w:r w:rsidR="00C0207E" w:rsidRPr="00F53B66">
          <w:rPr>
            <w:rStyle w:val="Hyperlink"/>
            <w:rFonts w:ascii="Arial" w:hAnsi="Arial" w:cs="Arial"/>
            <w:sz w:val="24"/>
            <w:szCs w:val="24"/>
          </w:rPr>
          <w:t xml:space="preserve"> compensation scheme</w:t>
        </w:r>
      </w:hyperlink>
      <w:r w:rsidR="00C0207E">
        <w:rPr>
          <w:rFonts w:ascii="Arial" w:hAnsi="Arial" w:cs="Arial"/>
          <w:sz w:val="24"/>
          <w:szCs w:val="24"/>
        </w:rPr>
        <w:t xml:space="preserve"> for energy intensive industries, </w:t>
      </w:r>
      <w:r w:rsidR="00F25AB9">
        <w:rPr>
          <w:rFonts w:ascii="Arial" w:hAnsi="Arial" w:cs="Arial"/>
          <w:sz w:val="24"/>
          <w:szCs w:val="24"/>
        </w:rPr>
        <w:t>following royal assent of the Energy Bill;</w:t>
      </w:r>
    </w:p>
    <w:p w14:paraId="594ACA70" w14:textId="156359E2" w:rsidR="00F25AB9" w:rsidRDefault="001E5D49" w:rsidP="00C96F67">
      <w:pPr>
        <w:pStyle w:val="ListParagraph"/>
        <w:numPr>
          <w:ilvl w:val="0"/>
          <w:numId w:val="13"/>
        </w:numPr>
        <w:rPr>
          <w:rFonts w:ascii="Arial" w:hAnsi="Arial" w:cs="Arial"/>
          <w:sz w:val="24"/>
          <w:szCs w:val="24"/>
        </w:rPr>
      </w:pPr>
      <w:r>
        <w:rPr>
          <w:rFonts w:ascii="Arial" w:hAnsi="Arial" w:cs="Arial"/>
          <w:sz w:val="24"/>
          <w:szCs w:val="24"/>
        </w:rPr>
        <w:t xml:space="preserve">Take a more </w:t>
      </w:r>
      <w:r w:rsidR="00BE3B27">
        <w:rPr>
          <w:rFonts w:ascii="Arial" w:hAnsi="Arial" w:cs="Arial"/>
          <w:sz w:val="24"/>
          <w:szCs w:val="24"/>
        </w:rPr>
        <w:t>whole</w:t>
      </w:r>
      <w:r w:rsidR="006A3E4D">
        <w:rPr>
          <w:rFonts w:ascii="Arial" w:hAnsi="Arial" w:cs="Arial"/>
          <w:sz w:val="24"/>
          <w:szCs w:val="24"/>
        </w:rPr>
        <w:t>-</w:t>
      </w:r>
      <w:r w:rsidR="00BE3B27">
        <w:rPr>
          <w:rFonts w:ascii="Arial" w:hAnsi="Arial" w:cs="Arial"/>
          <w:sz w:val="24"/>
          <w:szCs w:val="24"/>
        </w:rPr>
        <w:t xml:space="preserve">system approach to network charging and include </w:t>
      </w:r>
      <w:r w:rsidR="006704F3">
        <w:rPr>
          <w:rFonts w:ascii="Arial" w:hAnsi="Arial" w:cs="Arial"/>
          <w:sz w:val="24"/>
          <w:szCs w:val="24"/>
        </w:rPr>
        <w:t xml:space="preserve">other variables, such as investment cost and </w:t>
      </w:r>
      <w:r w:rsidR="000226B2">
        <w:rPr>
          <w:rFonts w:ascii="Arial" w:hAnsi="Arial" w:cs="Arial"/>
          <w:sz w:val="24"/>
          <w:szCs w:val="24"/>
        </w:rPr>
        <w:t>congestion</w:t>
      </w:r>
      <w:r w:rsidR="00510D1A">
        <w:rPr>
          <w:rFonts w:ascii="Arial" w:hAnsi="Arial" w:cs="Arial"/>
          <w:sz w:val="24"/>
          <w:szCs w:val="24"/>
        </w:rPr>
        <w:t>,</w:t>
      </w:r>
      <w:r w:rsidR="000226B2">
        <w:rPr>
          <w:rFonts w:ascii="Arial" w:hAnsi="Arial" w:cs="Arial"/>
          <w:sz w:val="24"/>
          <w:szCs w:val="24"/>
        </w:rPr>
        <w:t xml:space="preserve"> as allowed under the </w:t>
      </w:r>
      <w:r w:rsidR="005F2D00">
        <w:rPr>
          <w:rFonts w:ascii="Arial" w:hAnsi="Arial" w:cs="Arial"/>
          <w:sz w:val="24"/>
          <w:szCs w:val="24"/>
        </w:rPr>
        <w:t>legislative framework instead of pure cost-reflectivity (</w:t>
      </w:r>
      <w:proofErr w:type="spellStart"/>
      <w:r w:rsidR="005F2D00">
        <w:rPr>
          <w:rFonts w:ascii="Arial" w:hAnsi="Arial" w:cs="Arial"/>
          <w:sz w:val="24"/>
          <w:szCs w:val="24"/>
        </w:rPr>
        <w:t>ie</w:t>
      </w:r>
      <w:proofErr w:type="spellEnd"/>
      <w:r w:rsidR="005F2D00">
        <w:rPr>
          <w:rFonts w:ascii="Arial" w:hAnsi="Arial" w:cs="Arial"/>
          <w:sz w:val="24"/>
          <w:szCs w:val="24"/>
        </w:rPr>
        <w:t xml:space="preserve"> c</w:t>
      </w:r>
      <w:r w:rsidR="00510D1A">
        <w:rPr>
          <w:rFonts w:ascii="Arial" w:hAnsi="Arial" w:cs="Arial"/>
          <w:sz w:val="24"/>
          <w:szCs w:val="24"/>
        </w:rPr>
        <w:t xml:space="preserve">ost / consumption). </w:t>
      </w:r>
    </w:p>
    <w:p w14:paraId="2552168D" w14:textId="77624206" w:rsidR="008C60EF" w:rsidRDefault="008A2D5A" w:rsidP="00C96F67">
      <w:pPr>
        <w:pStyle w:val="ListParagraph"/>
        <w:numPr>
          <w:ilvl w:val="0"/>
          <w:numId w:val="13"/>
        </w:numPr>
        <w:rPr>
          <w:rFonts w:ascii="Arial" w:hAnsi="Arial" w:cs="Arial"/>
          <w:sz w:val="24"/>
          <w:szCs w:val="24"/>
        </w:rPr>
      </w:pPr>
      <w:r>
        <w:rPr>
          <w:rFonts w:ascii="Arial" w:hAnsi="Arial" w:cs="Arial"/>
          <w:sz w:val="24"/>
          <w:szCs w:val="24"/>
        </w:rPr>
        <w:t xml:space="preserve">Work with ACER </w:t>
      </w:r>
      <w:r w:rsidR="00C31B46">
        <w:rPr>
          <w:rFonts w:ascii="Arial" w:hAnsi="Arial" w:cs="Arial"/>
          <w:sz w:val="24"/>
          <w:szCs w:val="24"/>
        </w:rPr>
        <w:t xml:space="preserve">to align its interpretation of cost-reflectivity more with </w:t>
      </w:r>
      <w:r w:rsidR="00435D26">
        <w:rPr>
          <w:rFonts w:ascii="Arial" w:hAnsi="Arial" w:cs="Arial"/>
          <w:sz w:val="24"/>
          <w:szCs w:val="24"/>
        </w:rPr>
        <w:t xml:space="preserve">its counterparts in Europe, in particular in relation to energy intensive industries. </w:t>
      </w:r>
    </w:p>
    <w:p w14:paraId="31878267" w14:textId="77777777" w:rsidR="00A25600" w:rsidRDefault="00A25600" w:rsidP="00A25600">
      <w:pPr>
        <w:rPr>
          <w:rFonts w:ascii="Arial" w:hAnsi="Arial" w:cs="Arial"/>
          <w:sz w:val="24"/>
          <w:szCs w:val="24"/>
        </w:rPr>
      </w:pPr>
    </w:p>
    <w:p w14:paraId="13F6FB73" w14:textId="4F5FF137" w:rsidR="00A25600" w:rsidRPr="007C78A9" w:rsidRDefault="00D33B6F" w:rsidP="007C78A9">
      <w:pPr>
        <w:pStyle w:val="ListParagraph"/>
        <w:numPr>
          <w:ilvl w:val="0"/>
          <w:numId w:val="2"/>
        </w:numPr>
        <w:rPr>
          <w:rFonts w:ascii="Arial" w:hAnsi="Arial" w:cs="Arial"/>
          <w:sz w:val="24"/>
          <w:szCs w:val="24"/>
        </w:rPr>
      </w:pPr>
      <w:r w:rsidRPr="007C78A9">
        <w:rPr>
          <w:rFonts w:ascii="Arial" w:hAnsi="Arial" w:cs="Arial"/>
          <w:sz w:val="24"/>
          <w:szCs w:val="24"/>
        </w:rPr>
        <w:lastRenderedPageBreak/>
        <w:t xml:space="preserve">As </w:t>
      </w:r>
      <w:r w:rsidR="00FB7B71" w:rsidRPr="007C78A9">
        <w:rPr>
          <w:rFonts w:ascii="Arial" w:hAnsi="Arial" w:cs="Arial"/>
          <w:sz w:val="24"/>
          <w:szCs w:val="24"/>
        </w:rPr>
        <w:t xml:space="preserve">the figure below from the </w:t>
      </w:r>
      <w:r w:rsidR="005A4824" w:rsidRPr="007C78A9">
        <w:rPr>
          <w:rFonts w:ascii="Arial" w:hAnsi="Arial" w:cs="Arial"/>
          <w:sz w:val="24"/>
          <w:szCs w:val="24"/>
        </w:rPr>
        <w:t xml:space="preserve">final </w:t>
      </w:r>
      <w:r w:rsidR="007C78A9" w:rsidRPr="007C78A9">
        <w:rPr>
          <w:rFonts w:ascii="Arial" w:hAnsi="Arial" w:cs="Arial"/>
          <w:sz w:val="24"/>
          <w:szCs w:val="24"/>
        </w:rPr>
        <w:t>CEPA</w:t>
      </w:r>
      <w:r w:rsidR="007C78A9" w:rsidRPr="007C78A9">
        <w:rPr>
          <w:rFonts w:ascii="Arial" w:hAnsi="Arial" w:cs="Arial"/>
          <w:sz w:val="24"/>
          <w:szCs w:val="24"/>
        </w:rPr>
        <w:t xml:space="preserve"> </w:t>
      </w:r>
      <w:r w:rsidR="005A4824" w:rsidRPr="007C78A9">
        <w:rPr>
          <w:rFonts w:ascii="Arial" w:hAnsi="Arial" w:cs="Arial"/>
          <w:sz w:val="24"/>
          <w:szCs w:val="24"/>
        </w:rPr>
        <w:t xml:space="preserve">report </w:t>
      </w:r>
      <w:r w:rsidR="002B0EEC" w:rsidRPr="002B0EEC">
        <w:rPr>
          <w:rFonts w:ascii="Arial" w:hAnsi="Arial" w:cs="Arial"/>
          <w:i/>
          <w:iCs/>
          <w:sz w:val="24"/>
          <w:szCs w:val="24"/>
        </w:rPr>
        <w:t>Allocation of Electricity Network Charges to Different Consumer Groups in Selected Countries</w:t>
      </w:r>
      <w:r w:rsidR="002B0EEC">
        <w:rPr>
          <w:rFonts w:ascii="Arial" w:hAnsi="Arial" w:cs="Arial"/>
          <w:i/>
          <w:iCs/>
          <w:sz w:val="24"/>
          <w:szCs w:val="24"/>
        </w:rPr>
        <w:t xml:space="preserve"> </w:t>
      </w:r>
      <w:r w:rsidR="00687ED7">
        <w:rPr>
          <w:rFonts w:ascii="Arial" w:hAnsi="Arial" w:cs="Arial"/>
          <w:sz w:val="24"/>
          <w:szCs w:val="24"/>
        </w:rPr>
        <w:t>f</w:t>
      </w:r>
      <w:r w:rsidR="005A4824" w:rsidRPr="007C78A9">
        <w:rPr>
          <w:rFonts w:ascii="Arial" w:hAnsi="Arial" w:cs="Arial"/>
          <w:sz w:val="24"/>
          <w:szCs w:val="24"/>
        </w:rPr>
        <w:t xml:space="preserve">or BEIS </w:t>
      </w:r>
      <w:r w:rsidR="00034C23" w:rsidRPr="007C78A9">
        <w:rPr>
          <w:rFonts w:ascii="Arial" w:hAnsi="Arial" w:cs="Arial"/>
          <w:sz w:val="24"/>
          <w:szCs w:val="24"/>
        </w:rPr>
        <w:t xml:space="preserve">from 2019 </w:t>
      </w:r>
      <w:r w:rsidR="00C10864">
        <w:rPr>
          <w:rFonts w:ascii="Arial" w:hAnsi="Arial" w:cs="Arial"/>
          <w:sz w:val="24"/>
          <w:szCs w:val="24"/>
        </w:rPr>
        <w:t xml:space="preserve">shows, </w:t>
      </w:r>
      <w:r w:rsidR="000A66BD">
        <w:rPr>
          <w:rFonts w:ascii="Arial" w:hAnsi="Arial" w:cs="Arial"/>
          <w:sz w:val="24"/>
          <w:szCs w:val="24"/>
        </w:rPr>
        <w:t xml:space="preserve">variety of </w:t>
      </w:r>
      <w:r w:rsidR="00A5158F">
        <w:rPr>
          <w:rFonts w:ascii="Arial" w:hAnsi="Arial" w:cs="Arial"/>
          <w:sz w:val="24"/>
          <w:szCs w:val="24"/>
        </w:rPr>
        <w:t xml:space="preserve">use of system charges in </w:t>
      </w:r>
      <w:r w:rsidR="000A66BD">
        <w:rPr>
          <w:rFonts w:ascii="Arial" w:hAnsi="Arial" w:cs="Arial"/>
          <w:sz w:val="24"/>
          <w:szCs w:val="24"/>
        </w:rPr>
        <w:t xml:space="preserve">European countries vary significantly </w:t>
      </w:r>
      <w:r w:rsidR="00DF57CA">
        <w:rPr>
          <w:rFonts w:ascii="Arial" w:hAnsi="Arial" w:cs="Arial"/>
          <w:sz w:val="24"/>
          <w:szCs w:val="24"/>
        </w:rPr>
        <w:t xml:space="preserve">because energy regulators have different interpretations of cost-reflectivity. </w:t>
      </w:r>
    </w:p>
    <w:p w14:paraId="508B4453" w14:textId="77777777" w:rsidR="00FB7B71" w:rsidRDefault="00FB7B71" w:rsidP="00FB7B71">
      <w:pPr>
        <w:pStyle w:val="ListParagraph"/>
        <w:ind w:left="360"/>
        <w:rPr>
          <w:rFonts w:ascii="Arial" w:hAnsi="Arial" w:cs="Arial"/>
          <w:sz w:val="24"/>
          <w:szCs w:val="24"/>
        </w:rPr>
      </w:pPr>
    </w:p>
    <w:p w14:paraId="7D82D96D" w14:textId="1897AC7E" w:rsidR="00FB7B71" w:rsidRPr="00A25600" w:rsidRDefault="00FB7B71" w:rsidP="00FB7B71">
      <w:pPr>
        <w:pStyle w:val="ListParagraph"/>
        <w:ind w:left="360"/>
        <w:rPr>
          <w:rFonts w:ascii="Arial" w:hAnsi="Arial" w:cs="Arial"/>
          <w:sz w:val="24"/>
          <w:szCs w:val="24"/>
        </w:rPr>
      </w:pPr>
      <w:r w:rsidRPr="00FB7B71">
        <w:rPr>
          <w:rFonts w:ascii="Arial" w:hAnsi="Arial" w:cs="Arial"/>
          <w:noProof/>
          <w:sz w:val="24"/>
          <w:szCs w:val="24"/>
        </w:rPr>
        <w:drawing>
          <wp:inline distT="0" distB="0" distL="0" distR="0" wp14:anchorId="760074F3" wp14:editId="5E8A9E82">
            <wp:extent cx="5731510" cy="2828290"/>
            <wp:effectExtent l="0" t="0" r="2540" b="0"/>
            <wp:docPr id="1023327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828290"/>
                    </a:xfrm>
                    <a:prstGeom prst="rect">
                      <a:avLst/>
                    </a:prstGeom>
                    <a:noFill/>
                    <a:ln>
                      <a:noFill/>
                    </a:ln>
                  </pic:spPr>
                </pic:pic>
              </a:graphicData>
            </a:graphic>
          </wp:inline>
        </w:drawing>
      </w:r>
    </w:p>
    <w:p w14:paraId="70F759A8" w14:textId="1C91DA8E" w:rsidR="009779A4" w:rsidRDefault="005A7E01" w:rsidP="005A7E01">
      <w:pPr>
        <w:pStyle w:val="ListParagraph"/>
        <w:numPr>
          <w:ilvl w:val="0"/>
          <w:numId w:val="2"/>
        </w:numPr>
        <w:rPr>
          <w:rFonts w:ascii="Arial" w:hAnsi="Arial" w:cs="Arial"/>
          <w:sz w:val="24"/>
          <w:szCs w:val="24"/>
        </w:rPr>
      </w:pPr>
      <w:r>
        <w:rPr>
          <w:rFonts w:ascii="Arial" w:hAnsi="Arial" w:cs="Arial"/>
          <w:sz w:val="24"/>
          <w:szCs w:val="24"/>
        </w:rPr>
        <w:t xml:space="preserve">Ofgem’s interpretation of cost-reflectivity </w:t>
      </w:r>
      <w:r w:rsidR="0011735B">
        <w:rPr>
          <w:rFonts w:ascii="Arial" w:hAnsi="Arial" w:cs="Arial"/>
          <w:sz w:val="24"/>
          <w:szCs w:val="24"/>
        </w:rPr>
        <w:t xml:space="preserve">means that network charges </w:t>
      </w:r>
      <w:r w:rsidR="00293977">
        <w:rPr>
          <w:rFonts w:ascii="Arial" w:hAnsi="Arial" w:cs="Arial"/>
          <w:sz w:val="24"/>
          <w:szCs w:val="24"/>
        </w:rPr>
        <w:t xml:space="preserve">for electricity intensive industries </w:t>
      </w:r>
      <w:r w:rsidR="0011735B">
        <w:rPr>
          <w:rFonts w:ascii="Arial" w:hAnsi="Arial" w:cs="Arial"/>
          <w:sz w:val="24"/>
          <w:szCs w:val="24"/>
        </w:rPr>
        <w:t>in the GB are generally higher than in other countries</w:t>
      </w:r>
      <w:r w:rsidR="00DD7CB4">
        <w:rPr>
          <w:rFonts w:ascii="Arial" w:hAnsi="Arial" w:cs="Arial"/>
          <w:sz w:val="24"/>
          <w:szCs w:val="24"/>
        </w:rPr>
        <w:t>. This puts certain energy intensive industries at a competitive disadvantage and increase the risk of carbon</w:t>
      </w:r>
      <w:r w:rsidR="009779A4">
        <w:rPr>
          <w:rFonts w:ascii="Arial" w:hAnsi="Arial" w:cs="Arial"/>
          <w:sz w:val="24"/>
          <w:szCs w:val="24"/>
        </w:rPr>
        <w:t xml:space="preserve"> leakage.</w:t>
      </w:r>
    </w:p>
    <w:p w14:paraId="7655AC81" w14:textId="77777777" w:rsidR="00293977" w:rsidRDefault="00293977" w:rsidP="00293977">
      <w:pPr>
        <w:pStyle w:val="ListParagraph"/>
        <w:ind w:left="360"/>
        <w:rPr>
          <w:rFonts w:ascii="Arial" w:hAnsi="Arial" w:cs="Arial"/>
          <w:sz w:val="24"/>
          <w:szCs w:val="24"/>
        </w:rPr>
      </w:pPr>
    </w:p>
    <w:p w14:paraId="56C4B707" w14:textId="020AE090" w:rsidR="00AA254B" w:rsidRDefault="009779A4" w:rsidP="005A7E01">
      <w:pPr>
        <w:pStyle w:val="ListParagraph"/>
        <w:numPr>
          <w:ilvl w:val="0"/>
          <w:numId w:val="2"/>
        </w:numPr>
        <w:rPr>
          <w:rFonts w:ascii="Arial" w:hAnsi="Arial" w:cs="Arial"/>
          <w:sz w:val="24"/>
          <w:szCs w:val="24"/>
        </w:rPr>
      </w:pPr>
      <w:r>
        <w:rPr>
          <w:rFonts w:ascii="Arial" w:hAnsi="Arial" w:cs="Arial"/>
          <w:sz w:val="24"/>
          <w:szCs w:val="24"/>
        </w:rPr>
        <w:t xml:space="preserve">The Government has recognised this issue in relation to policy cost on industrial electricity prices </w:t>
      </w:r>
      <w:r w:rsidR="00B5235B">
        <w:rPr>
          <w:rFonts w:ascii="Arial" w:hAnsi="Arial" w:cs="Arial"/>
          <w:sz w:val="24"/>
          <w:szCs w:val="24"/>
        </w:rPr>
        <w:t xml:space="preserve">and has </w:t>
      </w:r>
      <w:r w:rsidR="00A97324">
        <w:rPr>
          <w:rFonts w:ascii="Arial" w:hAnsi="Arial" w:cs="Arial"/>
          <w:sz w:val="24"/>
          <w:szCs w:val="24"/>
        </w:rPr>
        <w:t xml:space="preserve">implemented various measures to </w:t>
      </w:r>
      <w:r w:rsidR="00D23ECC">
        <w:rPr>
          <w:rFonts w:ascii="Arial" w:hAnsi="Arial" w:cs="Arial"/>
          <w:sz w:val="24"/>
          <w:szCs w:val="24"/>
        </w:rPr>
        <w:t xml:space="preserve">reduce these cost via compensation and exemptions. </w:t>
      </w:r>
    </w:p>
    <w:p w14:paraId="0CCF26A9" w14:textId="77777777" w:rsidR="00293977" w:rsidRPr="005A7E01" w:rsidRDefault="00293977" w:rsidP="00293977">
      <w:pPr>
        <w:pStyle w:val="ListParagraph"/>
        <w:ind w:left="360"/>
        <w:rPr>
          <w:rFonts w:ascii="Arial" w:hAnsi="Arial" w:cs="Arial"/>
          <w:sz w:val="24"/>
          <w:szCs w:val="24"/>
        </w:rPr>
      </w:pPr>
    </w:p>
    <w:p w14:paraId="30A6D51C" w14:textId="767FDC6B" w:rsidR="00AA254B" w:rsidRPr="00AA254B" w:rsidRDefault="00AA254B" w:rsidP="00AA254B">
      <w:pPr>
        <w:rPr>
          <w:rFonts w:ascii="Arial" w:hAnsi="Arial" w:cs="Arial"/>
          <w:b/>
          <w:bCs/>
          <w:i/>
          <w:iCs/>
          <w:sz w:val="24"/>
          <w:szCs w:val="24"/>
        </w:rPr>
      </w:pPr>
      <w:r w:rsidRPr="00AA254B">
        <w:rPr>
          <w:rFonts w:ascii="Arial" w:hAnsi="Arial" w:cs="Arial"/>
          <w:b/>
          <w:bCs/>
          <w:i/>
          <w:iCs/>
          <w:sz w:val="24"/>
          <w:szCs w:val="24"/>
        </w:rPr>
        <w:t>Given the Future System Operator does not exist yet but will need to have regard to the strategy and policy statement once it does, do you consider that we have effectively reflected the Future System Operator’s role in this document? If not, please identify where these expectations could be made clearer.</w:t>
      </w:r>
    </w:p>
    <w:p w14:paraId="58E84E81" w14:textId="69E84EFF" w:rsidR="00C430CB" w:rsidRPr="00C430CB" w:rsidRDefault="00915540" w:rsidP="00C430CB">
      <w:pPr>
        <w:pStyle w:val="ListParagraph"/>
        <w:numPr>
          <w:ilvl w:val="0"/>
          <w:numId w:val="2"/>
        </w:numPr>
        <w:rPr>
          <w:rFonts w:ascii="Arial" w:hAnsi="Arial" w:cs="Arial"/>
          <w:sz w:val="24"/>
          <w:szCs w:val="24"/>
        </w:rPr>
      </w:pPr>
      <w:r>
        <w:rPr>
          <w:rFonts w:ascii="Arial" w:hAnsi="Arial" w:cs="Arial"/>
          <w:sz w:val="24"/>
          <w:szCs w:val="24"/>
        </w:rPr>
        <w:t xml:space="preserve">The statement </w:t>
      </w:r>
      <w:r w:rsidR="00A25600">
        <w:rPr>
          <w:rFonts w:ascii="Arial" w:hAnsi="Arial" w:cs="Arial"/>
          <w:sz w:val="24"/>
          <w:szCs w:val="24"/>
        </w:rPr>
        <w:t xml:space="preserve">reflects the role of the Future System Operator reasonably well. </w:t>
      </w:r>
    </w:p>
    <w:p w14:paraId="6F098555" w14:textId="77777777" w:rsidR="00A25600" w:rsidRDefault="00A25600" w:rsidP="003E7AC7">
      <w:pPr>
        <w:rPr>
          <w:rFonts w:ascii="Arial" w:hAnsi="Arial" w:cs="Arial"/>
          <w:sz w:val="24"/>
          <w:szCs w:val="24"/>
        </w:rPr>
      </w:pPr>
    </w:p>
    <w:p w14:paraId="7E6B93D4" w14:textId="102B7A8F" w:rsidR="002E3D94" w:rsidRDefault="002E3D94" w:rsidP="003E7AC7">
      <w:pPr>
        <w:rPr>
          <w:rFonts w:ascii="Arial" w:hAnsi="Arial" w:cs="Arial"/>
          <w:sz w:val="24"/>
          <w:szCs w:val="24"/>
        </w:rPr>
      </w:pPr>
      <w:r>
        <w:rPr>
          <w:rFonts w:ascii="Arial" w:hAnsi="Arial" w:cs="Arial"/>
          <w:sz w:val="24"/>
          <w:szCs w:val="24"/>
        </w:rPr>
        <w:t>Arjan Geveke</w:t>
      </w:r>
      <w:r w:rsidR="007D0D22">
        <w:rPr>
          <w:rFonts w:ascii="Arial" w:hAnsi="Arial" w:cs="Arial"/>
          <w:sz w:val="24"/>
          <w:szCs w:val="24"/>
        </w:rPr>
        <w:tab/>
      </w:r>
      <w:r w:rsidR="007D0D22">
        <w:rPr>
          <w:rFonts w:ascii="Arial" w:hAnsi="Arial" w:cs="Arial"/>
          <w:sz w:val="24"/>
          <w:szCs w:val="24"/>
        </w:rPr>
        <w:tab/>
      </w:r>
      <w:r w:rsidR="007D0D22">
        <w:rPr>
          <w:rFonts w:ascii="Arial" w:hAnsi="Arial" w:cs="Arial"/>
          <w:sz w:val="24"/>
          <w:szCs w:val="24"/>
        </w:rPr>
        <w:tab/>
      </w:r>
    </w:p>
    <w:p w14:paraId="3E502174" w14:textId="554789A0" w:rsidR="002E3D94" w:rsidRPr="003E7AC7" w:rsidRDefault="002E3D94" w:rsidP="003E7AC7">
      <w:pPr>
        <w:rPr>
          <w:rFonts w:ascii="Arial" w:hAnsi="Arial" w:cs="Arial"/>
          <w:sz w:val="24"/>
          <w:szCs w:val="24"/>
        </w:rPr>
      </w:pPr>
      <w:r>
        <w:rPr>
          <w:rFonts w:ascii="Arial" w:hAnsi="Arial" w:cs="Arial"/>
          <w:sz w:val="24"/>
          <w:szCs w:val="24"/>
        </w:rPr>
        <w:t>Director EIUG</w:t>
      </w:r>
      <w:r w:rsidR="007D0D22">
        <w:rPr>
          <w:rFonts w:ascii="Arial" w:hAnsi="Arial" w:cs="Arial"/>
          <w:sz w:val="24"/>
          <w:szCs w:val="24"/>
        </w:rPr>
        <w:tab/>
      </w:r>
      <w:r w:rsidR="007D0D22">
        <w:rPr>
          <w:rFonts w:ascii="Arial" w:hAnsi="Arial" w:cs="Arial"/>
          <w:sz w:val="24"/>
          <w:szCs w:val="24"/>
        </w:rPr>
        <w:tab/>
      </w:r>
      <w:r w:rsidR="007D0D22">
        <w:rPr>
          <w:rFonts w:ascii="Arial" w:hAnsi="Arial" w:cs="Arial"/>
          <w:sz w:val="24"/>
          <w:szCs w:val="24"/>
        </w:rPr>
        <w:tab/>
      </w:r>
      <w:r w:rsidR="007D0D22">
        <w:rPr>
          <w:rFonts w:ascii="Arial" w:hAnsi="Arial" w:cs="Arial"/>
          <w:sz w:val="24"/>
          <w:szCs w:val="24"/>
        </w:rPr>
        <w:tab/>
      </w:r>
    </w:p>
    <w:sectPr w:rsidR="002E3D94" w:rsidRPr="003E7AC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E077" w14:textId="77777777" w:rsidR="00D7287E" w:rsidRDefault="00D7287E" w:rsidP="0078318C">
      <w:pPr>
        <w:spacing w:after="0" w:line="240" w:lineRule="auto"/>
      </w:pPr>
      <w:r>
        <w:separator/>
      </w:r>
    </w:p>
  </w:endnote>
  <w:endnote w:type="continuationSeparator" w:id="0">
    <w:p w14:paraId="572CBE40" w14:textId="77777777" w:rsidR="00D7287E" w:rsidRDefault="00D7287E" w:rsidP="0078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797195"/>
      <w:docPartObj>
        <w:docPartGallery w:val="Page Numbers (Bottom of Page)"/>
        <w:docPartUnique/>
      </w:docPartObj>
    </w:sdtPr>
    <w:sdtEndPr>
      <w:rPr>
        <w:noProof/>
      </w:rPr>
    </w:sdtEndPr>
    <w:sdtContent>
      <w:p w14:paraId="031F9103" w14:textId="53F55979" w:rsidR="002E3D94" w:rsidRDefault="002E3D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7FD11" w14:textId="77777777" w:rsidR="0078318C" w:rsidRDefault="0078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EDF5" w14:textId="77777777" w:rsidR="00D7287E" w:rsidRDefault="00D7287E" w:rsidP="0078318C">
      <w:pPr>
        <w:spacing w:after="0" w:line="240" w:lineRule="auto"/>
      </w:pPr>
      <w:r>
        <w:separator/>
      </w:r>
    </w:p>
  </w:footnote>
  <w:footnote w:type="continuationSeparator" w:id="0">
    <w:p w14:paraId="19B41483" w14:textId="77777777" w:rsidR="00D7287E" w:rsidRDefault="00D7287E" w:rsidP="0078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0CA"/>
    <w:multiLevelType w:val="hybridMultilevel"/>
    <w:tmpl w:val="DD6613DA"/>
    <w:lvl w:ilvl="0" w:tplc="ED8A6EE0">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283FFA"/>
    <w:multiLevelType w:val="hybridMultilevel"/>
    <w:tmpl w:val="E5AEDE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EB2BA0"/>
    <w:multiLevelType w:val="hybridMultilevel"/>
    <w:tmpl w:val="364C754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FC66A00"/>
    <w:multiLevelType w:val="hybridMultilevel"/>
    <w:tmpl w:val="6EF8A9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29127D6"/>
    <w:multiLevelType w:val="hybridMultilevel"/>
    <w:tmpl w:val="AE4A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92791"/>
    <w:multiLevelType w:val="hybridMultilevel"/>
    <w:tmpl w:val="8CC8672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A2B0834"/>
    <w:multiLevelType w:val="hybridMultilevel"/>
    <w:tmpl w:val="D0C21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D65E0F"/>
    <w:multiLevelType w:val="hybridMultilevel"/>
    <w:tmpl w:val="6C7A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D3C0B"/>
    <w:multiLevelType w:val="hybridMultilevel"/>
    <w:tmpl w:val="912AA030"/>
    <w:lvl w:ilvl="0" w:tplc="08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A50CC"/>
    <w:multiLevelType w:val="hybridMultilevel"/>
    <w:tmpl w:val="C3CE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16224"/>
    <w:multiLevelType w:val="hybridMultilevel"/>
    <w:tmpl w:val="FA1A56AC"/>
    <w:lvl w:ilvl="0" w:tplc="2522CC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561499"/>
    <w:multiLevelType w:val="hybridMultilevel"/>
    <w:tmpl w:val="1DC67A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B024A9B"/>
    <w:multiLevelType w:val="hybridMultilevel"/>
    <w:tmpl w:val="D1204330"/>
    <w:lvl w:ilvl="0" w:tplc="6B3C523A">
      <w:start w:val="3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0152943">
    <w:abstractNumId w:val="10"/>
  </w:num>
  <w:num w:numId="2" w16cid:durableId="169687588">
    <w:abstractNumId w:val="0"/>
  </w:num>
  <w:num w:numId="3" w16cid:durableId="2020808906">
    <w:abstractNumId w:val="4"/>
  </w:num>
  <w:num w:numId="4" w16cid:durableId="1061100586">
    <w:abstractNumId w:val="12"/>
  </w:num>
  <w:num w:numId="5" w16cid:durableId="1827476606">
    <w:abstractNumId w:val="9"/>
  </w:num>
  <w:num w:numId="6" w16cid:durableId="1840074890">
    <w:abstractNumId w:val="11"/>
  </w:num>
  <w:num w:numId="7" w16cid:durableId="424619315">
    <w:abstractNumId w:val="5"/>
  </w:num>
  <w:num w:numId="8" w16cid:durableId="1260790564">
    <w:abstractNumId w:val="3"/>
  </w:num>
  <w:num w:numId="9" w16cid:durableId="168832868">
    <w:abstractNumId w:val="6"/>
  </w:num>
  <w:num w:numId="10" w16cid:durableId="33120837">
    <w:abstractNumId w:val="7"/>
  </w:num>
  <w:num w:numId="11" w16cid:durableId="1713142459">
    <w:abstractNumId w:val="2"/>
  </w:num>
  <w:num w:numId="12" w16cid:durableId="641427378">
    <w:abstractNumId w:val="1"/>
  </w:num>
  <w:num w:numId="13" w16cid:durableId="1043405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88"/>
    <w:rsid w:val="00000C05"/>
    <w:rsid w:val="00001FFA"/>
    <w:rsid w:val="0000232F"/>
    <w:rsid w:val="00005A76"/>
    <w:rsid w:val="000078BB"/>
    <w:rsid w:val="000078DD"/>
    <w:rsid w:val="00007FB5"/>
    <w:rsid w:val="000101DF"/>
    <w:rsid w:val="00010FCA"/>
    <w:rsid w:val="0001191D"/>
    <w:rsid w:val="0001268B"/>
    <w:rsid w:val="00013A09"/>
    <w:rsid w:val="000146EF"/>
    <w:rsid w:val="000148FD"/>
    <w:rsid w:val="00017802"/>
    <w:rsid w:val="00020185"/>
    <w:rsid w:val="000214B9"/>
    <w:rsid w:val="000226B2"/>
    <w:rsid w:val="00023F34"/>
    <w:rsid w:val="000242A3"/>
    <w:rsid w:val="00024F09"/>
    <w:rsid w:val="00032AF5"/>
    <w:rsid w:val="000339BC"/>
    <w:rsid w:val="00033C0D"/>
    <w:rsid w:val="000342CF"/>
    <w:rsid w:val="00034C23"/>
    <w:rsid w:val="00035B2A"/>
    <w:rsid w:val="00040CC7"/>
    <w:rsid w:val="00042DCB"/>
    <w:rsid w:val="00044199"/>
    <w:rsid w:val="00046654"/>
    <w:rsid w:val="0004739D"/>
    <w:rsid w:val="00050DED"/>
    <w:rsid w:val="000534EE"/>
    <w:rsid w:val="000546A2"/>
    <w:rsid w:val="00054B13"/>
    <w:rsid w:val="000554B5"/>
    <w:rsid w:val="00055CDA"/>
    <w:rsid w:val="00056446"/>
    <w:rsid w:val="0006003C"/>
    <w:rsid w:val="00060992"/>
    <w:rsid w:val="000610C6"/>
    <w:rsid w:val="00061223"/>
    <w:rsid w:val="000618F2"/>
    <w:rsid w:val="00062033"/>
    <w:rsid w:val="00063B31"/>
    <w:rsid w:val="00063C07"/>
    <w:rsid w:val="000654AC"/>
    <w:rsid w:val="00066C98"/>
    <w:rsid w:val="00070C67"/>
    <w:rsid w:val="00071340"/>
    <w:rsid w:val="0007327A"/>
    <w:rsid w:val="00076C55"/>
    <w:rsid w:val="000774E0"/>
    <w:rsid w:val="0008016A"/>
    <w:rsid w:val="00080D6F"/>
    <w:rsid w:val="00082872"/>
    <w:rsid w:val="00082BA9"/>
    <w:rsid w:val="000838C7"/>
    <w:rsid w:val="0009118C"/>
    <w:rsid w:val="00091DE4"/>
    <w:rsid w:val="000933DA"/>
    <w:rsid w:val="00093ADC"/>
    <w:rsid w:val="000956D8"/>
    <w:rsid w:val="000970C5"/>
    <w:rsid w:val="000A4541"/>
    <w:rsid w:val="000A5A5D"/>
    <w:rsid w:val="000A66BD"/>
    <w:rsid w:val="000A6AF1"/>
    <w:rsid w:val="000A7A93"/>
    <w:rsid w:val="000B0671"/>
    <w:rsid w:val="000B0F79"/>
    <w:rsid w:val="000B680D"/>
    <w:rsid w:val="000B73A4"/>
    <w:rsid w:val="000C0554"/>
    <w:rsid w:val="000C2B9D"/>
    <w:rsid w:val="000C5E08"/>
    <w:rsid w:val="000C652A"/>
    <w:rsid w:val="000C7326"/>
    <w:rsid w:val="000C7B39"/>
    <w:rsid w:val="000D1F3B"/>
    <w:rsid w:val="000D290D"/>
    <w:rsid w:val="000D4CCE"/>
    <w:rsid w:val="000E1AE3"/>
    <w:rsid w:val="000E24A3"/>
    <w:rsid w:val="000E2E78"/>
    <w:rsid w:val="000E3B4B"/>
    <w:rsid w:val="000E3D25"/>
    <w:rsid w:val="000E5146"/>
    <w:rsid w:val="000E7486"/>
    <w:rsid w:val="000F1CFE"/>
    <w:rsid w:val="000F1DBB"/>
    <w:rsid w:val="000F3177"/>
    <w:rsid w:val="000F323E"/>
    <w:rsid w:val="000F473F"/>
    <w:rsid w:val="000F70DE"/>
    <w:rsid w:val="000F7226"/>
    <w:rsid w:val="00100639"/>
    <w:rsid w:val="00100E10"/>
    <w:rsid w:val="00104D14"/>
    <w:rsid w:val="001050D1"/>
    <w:rsid w:val="00106084"/>
    <w:rsid w:val="00106699"/>
    <w:rsid w:val="00106BB5"/>
    <w:rsid w:val="00107532"/>
    <w:rsid w:val="001076AC"/>
    <w:rsid w:val="00112B4A"/>
    <w:rsid w:val="00113ED3"/>
    <w:rsid w:val="00115285"/>
    <w:rsid w:val="00116229"/>
    <w:rsid w:val="0011735B"/>
    <w:rsid w:val="00117FD1"/>
    <w:rsid w:val="00121081"/>
    <w:rsid w:val="00124A22"/>
    <w:rsid w:val="001266BE"/>
    <w:rsid w:val="0013221E"/>
    <w:rsid w:val="00134499"/>
    <w:rsid w:val="00135FE8"/>
    <w:rsid w:val="00140440"/>
    <w:rsid w:val="00141FDD"/>
    <w:rsid w:val="00143A15"/>
    <w:rsid w:val="00143B82"/>
    <w:rsid w:val="00143D2D"/>
    <w:rsid w:val="001462A5"/>
    <w:rsid w:val="001462E9"/>
    <w:rsid w:val="00146F86"/>
    <w:rsid w:val="001475A9"/>
    <w:rsid w:val="00147C60"/>
    <w:rsid w:val="00147C84"/>
    <w:rsid w:val="001501DF"/>
    <w:rsid w:val="001532AF"/>
    <w:rsid w:val="001546E1"/>
    <w:rsid w:val="00156748"/>
    <w:rsid w:val="00160EED"/>
    <w:rsid w:val="00162B1A"/>
    <w:rsid w:val="00162E2A"/>
    <w:rsid w:val="00164C56"/>
    <w:rsid w:val="00165407"/>
    <w:rsid w:val="00165511"/>
    <w:rsid w:val="00165D9C"/>
    <w:rsid w:val="00170E2B"/>
    <w:rsid w:val="0017283E"/>
    <w:rsid w:val="00173F03"/>
    <w:rsid w:val="00174DE7"/>
    <w:rsid w:val="00176AD4"/>
    <w:rsid w:val="001772D6"/>
    <w:rsid w:val="001832BA"/>
    <w:rsid w:val="00184FB9"/>
    <w:rsid w:val="00185942"/>
    <w:rsid w:val="001903C6"/>
    <w:rsid w:val="00192BA0"/>
    <w:rsid w:val="00197649"/>
    <w:rsid w:val="00197B8E"/>
    <w:rsid w:val="001A15EA"/>
    <w:rsid w:val="001A4164"/>
    <w:rsid w:val="001A56F8"/>
    <w:rsid w:val="001A590F"/>
    <w:rsid w:val="001A686D"/>
    <w:rsid w:val="001A7D7E"/>
    <w:rsid w:val="001B040B"/>
    <w:rsid w:val="001B07FA"/>
    <w:rsid w:val="001B2098"/>
    <w:rsid w:val="001B588E"/>
    <w:rsid w:val="001B6DFD"/>
    <w:rsid w:val="001B74BF"/>
    <w:rsid w:val="001B76DE"/>
    <w:rsid w:val="001C0484"/>
    <w:rsid w:val="001C11AB"/>
    <w:rsid w:val="001C21AB"/>
    <w:rsid w:val="001C27FB"/>
    <w:rsid w:val="001C3C79"/>
    <w:rsid w:val="001C42B3"/>
    <w:rsid w:val="001C4DA4"/>
    <w:rsid w:val="001C5B23"/>
    <w:rsid w:val="001D071E"/>
    <w:rsid w:val="001D3473"/>
    <w:rsid w:val="001D42E0"/>
    <w:rsid w:val="001D5903"/>
    <w:rsid w:val="001D654C"/>
    <w:rsid w:val="001D7245"/>
    <w:rsid w:val="001E016C"/>
    <w:rsid w:val="001E2482"/>
    <w:rsid w:val="001E3131"/>
    <w:rsid w:val="001E5D49"/>
    <w:rsid w:val="001F1562"/>
    <w:rsid w:val="001F2EA8"/>
    <w:rsid w:val="001F5186"/>
    <w:rsid w:val="001F61B3"/>
    <w:rsid w:val="001F6F48"/>
    <w:rsid w:val="002001F4"/>
    <w:rsid w:val="002004DD"/>
    <w:rsid w:val="0020083C"/>
    <w:rsid w:val="00201B7B"/>
    <w:rsid w:val="00202640"/>
    <w:rsid w:val="0020490A"/>
    <w:rsid w:val="00204BFE"/>
    <w:rsid w:val="00205A22"/>
    <w:rsid w:val="00205DCD"/>
    <w:rsid w:val="00206DB8"/>
    <w:rsid w:val="00211A97"/>
    <w:rsid w:val="00211B79"/>
    <w:rsid w:val="0021329F"/>
    <w:rsid w:val="00220895"/>
    <w:rsid w:val="0022161E"/>
    <w:rsid w:val="002276FD"/>
    <w:rsid w:val="0023211E"/>
    <w:rsid w:val="00232386"/>
    <w:rsid w:val="002345CC"/>
    <w:rsid w:val="00236191"/>
    <w:rsid w:val="0023657F"/>
    <w:rsid w:val="0023712E"/>
    <w:rsid w:val="002410A2"/>
    <w:rsid w:val="002429BB"/>
    <w:rsid w:val="00244EAC"/>
    <w:rsid w:val="002500F8"/>
    <w:rsid w:val="0025103B"/>
    <w:rsid w:val="00253143"/>
    <w:rsid w:val="002552C9"/>
    <w:rsid w:val="0025775C"/>
    <w:rsid w:val="00261F58"/>
    <w:rsid w:val="00267015"/>
    <w:rsid w:val="00270406"/>
    <w:rsid w:val="002705CF"/>
    <w:rsid w:val="002706AB"/>
    <w:rsid w:val="00275647"/>
    <w:rsid w:val="0027768C"/>
    <w:rsid w:val="00280C1B"/>
    <w:rsid w:val="00283208"/>
    <w:rsid w:val="00283E88"/>
    <w:rsid w:val="00284027"/>
    <w:rsid w:val="00284F05"/>
    <w:rsid w:val="00285B40"/>
    <w:rsid w:val="00285EF2"/>
    <w:rsid w:val="002928A5"/>
    <w:rsid w:val="00292ECB"/>
    <w:rsid w:val="00293977"/>
    <w:rsid w:val="0029514F"/>
    <w:rsid w:val="00296669"/>
    <w:rsid w:val="00296D35"/>
    <w:rsid w:val="00297D77"/>
    <w:rsid w:val="002A0CFB"/>
    <w:rsid w:val="002A28B5"/>
    <w:rsid w:val="002A2DCC"/>
    <w:rsid w:val="002A3128"/>
    <w:rsid w:val="002A4F92"/>
    <w:rsid w:val="002A6822"/>
    <w:rsid w:val="002A6B25"/>
    <w:rsid w:val="002A6CAB"/>
    <w:rsid w:val="002A7DEF"/>
    <w:rsid w:val="002B0EEC"/>
    <w:rsid w:val="002B1334"/>
    <w:rsid w:val="002B3F52"/>
    <w:rsid w:val="002B5D2D"/>
    <w:rsid w:val="002C120F"/>
    <w:rsid w:val="002C14EA"/>
    <w:rsid w:val="002C2E4E"/>
    <w:rsid w:val="002C52DE"/>
    <w:rsid w:val="002C5AD9"/>
    <w:rsid w:val="002C723D"/>
    <w:rsid w:val="002C7C30"/>
    <w:rsid w:val="002D038B"/>
    <w:rsid w:val="002D2721"/>
    <w:rsid w:val="002D2C37"/>
    <w:rsid w:val="002D5611"/>
    <w:rsid w:val="002D6003"/>
    <w:rsid w:val="002D6AB6"/>
    <w:rsid w:val="002E02CA"/>
    <w:rsid w:val="002E12FC"/>
    <w:rsid w:val="002E2888"/>
    <w:rsid w:val="002E3883"/>
    <w:rsid w:val="002E3D94"/>
    <w:rsid w:val="002E3FB3"/>
    <w:rsid w:val="002E4779"/>
    <w:rsid w:val="002E6E34"/>
    <w:rsid w:val="002F0DE4"/>
    <w:rsid w:val="002F156A"/>
    <w:rsid w:val="002F17B6"/>
    <w:rsid w:val="002F3901"/>
    <w:rsid w:val="002F43B2"/>
    <w:rsid w:val="002F4EC2"/>
    <w:rsid w:val="002F7069"/>
    <w:rsid w:val="00300260"/>
    <w:rsid w:val="00300267"/>
    <w:rsid w:val="00300668"/>
    <w:rsid w:val="00301077"/>
    <w:rsid w:val="003015B9"/>
    <w:rsid w:val="00302B70"/>
    <w:rsid w:val="003030C5"/>
    <w:rsid w:val="00303575"/>
    <w:rsid w:val="003040D1"/>
    <w:rsid w:val="00304AFB"/>
    <w:rsid w:val="00306012"/>
    <w:rsid w:val="003066BA"/>
    <w:rsid w:val="00306AFA"/>
    <w:rsid w:val="00307203"/>
    <w:rsid w:val="00311950"/>
    <w:rsid w:val="00314B4F"/>
    <w:rsid w:val="0031535D"/>
    <w:rsid w:val="00316DE5"/>
    <w:rsid w:val="00317076"/>
    <w:rsid w:val="00317246"/>
    <w:rsid w:val="00322732"/>
    <w:rsid w:val="00323D1B"/>
    <w:rsid w:val="00324755"/>
    <w:rsid w:val="00324B02"/>
    <w:rsid w:val="00325896"/>
    <w:rsid w:val="00326DEC"/>
    <w:rsid w:val="003277EB"/>
    <w:rsid w:val="00327EDF"/>
    <w:rsid w:val="00330F11"/>
    <w:rsid w:val="003316E2"/>
    <w:rsid w:val="00331B5F"/>
    <w:rsid w:val="00333321"/>
    <w:rsid w:val="003334FB"/>
    <w:rsid w:val="00333729"/>
    <w:rsid w:val="00334B79"/>
    <w:rsid w:val="00341336"/>
    <w:rsid w:val="0034190A"/>
    <w:rsid w:val="00343831"/>
    <w:rsid w:val="00345A86"/>
    <w:rsid w:val="00346579"/>
    <w:rsid w:val="00350CC5"/>
    <w:rsid w:val="0035241B"/>
    <w:rsid w:val="00353085"/>
    <w:rsid w:val="0035368C"/>
    <w:rsid w:val="00361201"/>
    <w:rsid w:val="003613C2"/>
    <w:rsid w:val="003643F7"/>
    <w:rsid w:val="003659BB"/>
    <w:rsid w:val="00367036"/>
    <w:rsid w:val="00370B85"/>
    <w:rsid w:val="00372EFB"/>
    <w:rsid w:val="00373818"/>
    <w:rsid w:val="00374797"/>
    <w:rsid w:val="003747F6"/>
    <w:rsid w:val="00374902"/>
    <w:rsid w:val="00377833"/>
    <w:rsid w:val="00377B4D"/>
    <w:rsid w:val="00380337"/>
    <w:rsid w:val="00381F31"/>
    <w:rsid w:val="00386192"/>
    <w:rsid w:val="00387B93"/>
    <w:rsid w:val="003938EB"/>
    <w:rsid w:val="00393945"/>
    <w:rsid w:val="00393AAF"/>
    <w:rsid w:val="00393BC3"/>
    <w:rsid w:val="003942E6"/>
    <w:rsid w:val="00397179"/>
    <w:rsid w:val="00397D73"/>
    <w:rsid w:val="003A245D"/>
    <w:rsid w:val="003A3C60"/>
    <w:rsid w:val="003A4490"/>
    <w:rsid w:val="003A58D5"/>
    <w:rsid w:val="003A5E7B"/>
    <w:rsid w:val="003B0D14"/>
    <w:rsid w:val="003B2532"/>
    <w:rsid w:val="003B303E"/>
    <w:rsid w:val="003B7670"/>
    <w:rsid w:val="003B77B9"/>
    <w:rsid w:val="003B7EA7"/>
    <w:rsid w:val="003B7F09"/>
    <w:rsid w:val="003C0517"/>
    <w:rsid w:val="003C1702"/>
    <w:rsid w:val="003C1B7C"/>
    <w:rsid w:val="003C729D"/>
    <w:rsid w:val="003C752A"/>
    <w:rsid w:val="003D2E09"/>
    <w:rsid w:val="003D3DD8"/>
    <w:rsid w:val="003D4A3E"/>
    <w:rsid w:val="003D4A44"/>
    <w:rsid w:val="003D4DD0"/>
    <w:rsid w:val="003D6E7F"/>
    <w:rsid w:val="003E084F"/>
    <w:rsid w:val="003E1059"/>
    <w:rsid w:val="003E16AB"/>
    <w:rsid w:val="003E24E6"/>
    <w:rsid w:val="003E7AC7"/>
    <w:rsid w:val="003E7CC9"/>
    <w:rsid w:val="003F125E"/>
    <w:rsid w:val="003F3ECE"/>
    <w:rsid w:val="003F5DCA"/>
    <w:rsid w:val="003F6C97"/>
    <w:rsid w:val="003F780A"/>
    <w:rsid w:val="00401B7E"/>
    <w:rsid w:val="00402595"/>
    <w:rsid w:val="00403094"/>
    <w:rsid w:val="004033EC"/>
    <w:rsid w:val="00405E60"/>
    <w:rsid w:val="00411B37"/>
    <w:rsid w:val="00411C26"/>
    <w:rsid w:val="00413A13"/>
    <w:rsid w:val="00414671"/>
    <w:rsid w:val="004177EF"/>
    <w:rsid w:val="0042073B"/>
    <w:rsid w:val="00421095"/>
    <w:rsid w:val="004228F4"/>
    <w:rsid w:val="00422E38"/>
    <w:rsid w:val="004231D0"/>
    <w:rsid w:val="00423C20"/>
    <w:rsid w:val="00426B1B"/>
    <w:rsid w:val="004325EF"/>
    <w:rsid w:val="00432676"/>
    <w:rsid w:val="00432D15"/>
    <w:rsid w:val="00435D26"/>
    <w:rsid w:val="00437559"/>
    <w:rsid w:val="00440B83"/>
    <w:rsid w:val="00442179"/>
    <w:rsid w:val="004425C7"/>
    <w:rsid w:val="00442AAC"/>
    <w:rsid w:val="00444FA6"/>
    <w:rsid w:val="00444FEF"/>
    <w:rsid w:val="004452D2"/>
    <w:rsid w:val="00446B5E"/>
    <w:rsid w:val="0045076A"/>
    <w:rsid w:val="00453B7D"/>
    <w:rsid w:val="004568F7"/>
    <w:rsid w:val="00457594"/>
    <w:rsid w:val="00457C60"/>
    <w:rsid w:val="0046165C"/>
    <w:rsid w:val="004625EC"/>
    <w:rsid w:val="00464105"/>
    <w:rsid w:val="00470B7C"/>
    <w:rsid w:val="0047406E"/>
    <w:rsid w:val="00477574"/>
    <w:rsid w:val="00477A0D"/>
    <w:rsid w:val="004837D1"/>
    <w:rsid w:val="00484C4B"/>
    <w:rsid w:val="0049312F"/>
    <w:rsid w:val="004933B5"/>
    <w:rsid w:val="004A06DC"/>
    <w:rsid w:val="004A0E63"/>
    <w:rsid w:val="004A20AB"/>
    <w:rsid w:val="004A2E01"/>
    <w:rsid w:val="004A51D2"/>
    <w:rsid w:val="004A5218"/>
    <w:rsid w:val="004A59BB"/>
    <w:rsid w:val="004A5B5C"/>
    <w:rsid w:val="004A654E"/>
    <w:rsid w:val="004A660C"/>
    <w:rsid w:val="004A7C51"/>
    <w:rsid w:val="004B3F3E"/>
    <w:rsid w:val="004B58BF"/>
    <w:rsid w:val="004B695D"/>
    <w:rsid w:val="004C0167"/>
    <w:rsid w:val="004C0DC0"/>
    <w:rsid w:val="004C118A"/>
    <w:rsid w:val="004C1CA8"/>
    <w:rsid w:val="004C6459"/>
    <w:rsid w:val="004D3B2B"/>
    <w:rsid w:val="004D3DFA"/>
    <w:rsid w:val="004D7991"/>
    <w:rsid w:val="004E2F50"/>
    <w:rsid w:val="004E486C"/>
    <w:rsid w:val="004E68EF"/>
    <w:rsid w:val="004E6B7D"/>
    <w:rsid w:val="004F04B3"/>
    <w:rsid w:val="004F1925"/>
    <w:rsid w:val="004F364E"/>
    <w:rsid w:val="004F48C9"/>
    <w:rsid w:val="004F7B5F"/>
    <w:rsid w:val="0050012E"/>
    <w:rsid w:val="0050105B"/>
    <w:rsid w:val="00502CEE"/>
    <w:rsid w:val="00503BE9"/>
    <w:rsid w:val="00504D02"/>
    <w:rsid w:val="00505652"/>
    <w:rsid w:val="0051036D"/>
    <w:rsid w:val="00510D1A"/>
    <w:rsid w:val="00510ECD"/>
    <w:rsid w:val="00511E2B"/>
    <w:rsid w:val="00517D82"/>
    <w:rsid w:val="00521FF8"/>
    <w:rsid w:val="005272A5"/>
    <w:rsid w:val="00527FB8"/>
    <w:rsid w:val="00530A08"/>
    <w:rsid w:val="00530CBF"/>
    <w:rsid w:val="00531690"/>
    <w:rsid w:val="00534416"/>
    <w:rsid w:val="005346EA"/>
    <w:rsid w:val="00534F2F"/>
    <w:rsid w:val="00537511"/>
    <w:rsid w:val="00541BF5"/>
    <w:rsid w:val="00544444"/>
    <w:rsid w:val="00545A3C"/>
    <w:rsid w:val="00550390"/>
    <w:rsid w:val="00550E7C"/>
    <w:rsid w:val="00550EF8"/>
    <w:rsid w:val="005528FE"/>
    <w:rsid w:val="0055338A"/>
    <w:rsid w:val="0055516F"/>
    <w:rsid w:val="00555BED"/>
    <w:rsid w:val="005563C0"/>
    <w:rsid w:val="00556D4B"/>
    <w:rsid w:val="00556E20"/>
    <w:rsid w:val="005605E4"/>
    <w:rsid w:val="0056093E"/>
    <w:rsid w:val="00561BFB"/>
    <w:rsid w:val="0056597C"/>
    <w:rsid w:val="005708B1"/>
    <w:rsid w:val="005708FF"/>
    <w:rsid w:val="00570D7D"/>
    <w:rsid w:val="005729E1"/>
    <w:rsid w:val="00573812"/>
    <w:rsid w:val="005743A1"/>
    <w:rsid w:val="005803EE"/>
    <w:rsid w:val="00581282"/>
    <w:rsid w:val="0058255B"/>
    <w:rsid w:val="005856CC"/>
    <w:rsid w:val="00586D8A"/>
    <w:rsid w:val="00587AE9"/>
    <w:rsid w:val="00590D5E"/>
    <w:rsid w:val="005941FA"/>
    <w:rsid w:val="00596E43"/>
    <w:rsid w:val="005A0DD4"/>
    <w:rsid w:val="005A20C2"/>
    <w:rsid w:val="005A4824"/>
    <w:rsid w:val="005A5117"/>
    <w:rsid w:val="005A7E01"/>
    <w:rsid w:val="005B03AF"/>
    <w:rsid w:val="005B161E"/>
    <w:rsid w:val="005B200C"/>
    <w:rsid w:val="005B2542"/>
    <w:rsid w:val="005B41D4"/>
    <w:rsid w:val="005B495E"/>
    <w:rsid w:val="005B4B2E"/>
    <w:rsid w:val="005B50C8"/>
    <w:rsid w:val="005B53C4"/>
    <w:rsid w:val="005C1380"/>
    <w:rsid w:val="005C15D7"/>
    <w:rsid w:val="005C217D"/>
    <w:rsid w:val="005C27BF"/>
    <w:rsid w:val="005C32AA"/>
    <w:rsid w:val="005C3DA2"/>
    <w:rsid w:val="005C56F1"/>
    <w:rsid w:val="005D2458"/>
    <w:rsid w:val="005D24E1"/>
    <w:rsid w:val="005D4B4D"/>
    <w:rsid w:val="005D5A20"/>
    <w:rsid w:val="005D5CD6"/>
    <w:rsid w:val="005D66F7"/>
    <w:rsid w:val="005D6C5C"/>
    <w:rsid w:val="005E10AC"/>
    <w:rsid w:val="005E17D1"/>
    <w:rsid w:val="005E251A"/>
    <w:rsid w:val="005E2B45"/>
    <w:rsid w:val="005E3F2F"/>
    <w:rsid w:val="005E49BD"/>
    <w:rsid w:val="005F0245"/>
    <w:rsid w:val="005F2D00"/>
    <w:rsid w:val="005F330E"/>
    <w:rsid w:val="005F4434"/>
    <w:rsid w:val="005F4BAF"/>
    <w:rsid w:val="005F7672"/>
    <w:rsid w:val="006004CA"/>
    <w:rsid w:val="0060098F"/>
    <w:rsid w:val="00601DFC"/>
    <w:rsid w:val="00606503"/>
    <w:rsid w:val="006124FC"/>
    <w:rsid w:val="0061344A"/>
    <w:rsid w:val="0061614B"/>
    <w:rsid w:val="00617DFF"/>
    <w:rsid w:val="00620367"/>
    <w:rsid w:val="00624F98"/>
    <w:rsid w:val="0062578A"/>
    <w:rsid w:val="006270EE"/>
    <w:rsid w:val="00630812"/>
    <w:rsid w:val="00631412"/>
    <w:rsid w:val="00632CDC"/>
    <w:rsid w:val="00636BBA"/>
    <w:rsid w:val="006373A2"/>
    <w:rsid w:val="00641209"/>
    <w:rsid w:val="00643E3B"/>
    <w:rsid w:val="00644B79"/>
    <w:rsid w:val="0064549B"/>
    <w:rsid w:val="00645FE4"/>
    <w:rsid w:val="00646727"/>
    <w:rsid w:val="006503DB"/>
    <w:rsid w:val="006504C9"/>
    <w:rsid w:val="006524A3"/>
    <w:rsid w:val="00654018"/>
    <w:rsid w:val="00657D8D"/>
    <w:rsid w:val="00660FB3"/>
    <w:rsid w:val="0066237D"/>
    <w:rsid w:val="006637A0"/>
    <w:rsid w:val="00664FF6"/>
    <w:rsid w:val="00666F52"/>
    <w:rsid w:val="006704F3"/>
    <w:rsid w:val="00671F39"/>
    <w:rsid w:val="006758CB"/>
    <w:rsid w:val="00675BFB"/>
    <w:rsid w:val="0067647D"/>
    <w:rsid w:val="00676990"/>
    <w:rsid w:val="00676A82"/>
    <w:rsid w:val="00676C50"/>
    <w:rsid w:val="00676FC2"/>
    <w:rsid w:val="00677E69"/>
    <w:rsid w:val="00677FA6"/>
    <w:rsid w:val="006839C2"/>
    <w:rsid w:val="00683E6B"/>
    <w:rsid w:val="00684C36"/>
    <w:rsid w:val="00685DE7"/>
    <w:rsid w:val="00686E6D"/>
    <w:rsid w:val="006874DC"/>
    <w:rsid w:val="00687BEB"/>
    <w:rsid w:val="00687ED7"/>
    <w:rsid w:val="006901B2"/>
    <w:rsid w:val="006906B9"/>
    <w:rsid w:val="00691682"/>
    <w:rsid w:val="00691F97"/>
    <w:rsid w:val="0069598A"/>
    <w:rsid w:val="006961E0"/>
    <w:rsid w:val="0069635F"/>
    <w:rsid w:val="00696CBC"/>
    <w:rsid w:val="006A0147"/>
    <w:rsid w:val="006A1ECE"/>
    <w:rsid w:val="006A234A"/>
    <w:rsid w:val="006A3E4D"/>
    <w:rsid w:val="006A50B8"/>
    <w:rsid w:val="006A52D6"/>
    <w:rsid w:val="006A75AB"/>
    <w:rsid w:val="006A796C"/>
    <w:rsid w:val="006B2BDB"/>
    <w:rsid w:val="006B48AD"/>
    <w:rsid w:val="006B699A"/>
    <w:rsid w:val="006B73F5"/>
    <w:rsid w:val="006B7827"/>
    <w:rsid w:val="006C311B"/>
    <w:rsid w:val="006C52BA"/>
    <w:rsid w:val="006C5BC2"/>
    <w:rsid w:val="006C7F15"/>
    <w:rsid w:val="006D25FE"/>
    <w:rsid w:val="006D36D4"/>
    <w:rsid w:val="006D5A0C"/>
    <w:rsid w:val="006D5A13"/>
    <w:rsid w:val="006D620C"/>
    <w:rsid w:val="006D6315"/>
    <w:rsid w:val="006D64E6"/>
    <w:rsid w:val="006E2DE7"/>
    <w:rsid w:val="006E4624"/>
    <w:rsid w:val="006E6967"/>
    <w:rsid w:val="006E70FE"/>
    <w:rsid w:val="006F22F4"/>
    <w:rsid w:val="006F39BB"/>
    <w:rsid w:val="006F3B8F"/>
    <w:rsid w:val="006F46D6"/>
    <w:rsid w:val="006F4D7B"/>
    <w:rsid w:val="006F73E1"/>
    <w:rsid w:val="007009F6"/>
    <w:rsid w:val="007035A3"/>
    <w:rsid w:val="00703C6F"/>
    <w:rsid w:val="00704042"/>
    <w:rsid w:val="0070415C"/>
    <w:rsid w:val="00705157"/>
    <w:rsid w:val="00705B72"/>
    <w:rsid w:val="007109A8"/>
    <w:rsid w:val="007113E1"/>
    <w:rsid w:val="0071333B"/>
    <w:rsid w:val="007134F9"/>
    <w:rsid w:val="0071481D"/>
    <w:rsid w:val="00715215"/>
    <w:rsid w:val="007163DB"/>
    <w:rsid w:val="00723C49"/>
    <w:rsid w:val="00724DFF"/>
    <w:rsid w:val="00725D9A"/>
    <w:rsid w:val="00726375"/>
    <w:rsid w:val="00730479"/>
    <w:rsid w:val="00730504"/>
    <w:rsid w:val="00730594"/>
    <w:rsid w:val="00733CAF"/>
    <w:rsid w:val="0073439F"/>
    <w:rsid w:val="00735353"/>
    <w:rsid w:val="0074018C"/>
    <w:rsid w:val="0074197E"/>
    <w:rsid w:val="0074367F"/>
    <w:rsid w:val="00744587"/>
    <w:rsid w:val="00744861"/>
    <w:rsid w:val="00745B82"/>
    <w:rsid w:val="00747552"/>
    <w:rsid w:val="00747E7C"/>
    <w:rsid w:val="00750228"/>
    <w:rsid w:val="0075030D"/>
    <w:rsid w:val="007511C3"/>
    <w:rsid w:val="007523DA"/>
    <w:rsid w:val="00752E33"/>
    <w:rsid w:val="0075348B"/>
    <w:rsid w:val="00754CA0"/>
    <w:rsid w:val="00755869"/>
    <w:rsid w:val="00755F0F"/>
    <w:rsid w:val="00756C8C"/>
    <w:rsid w:val="00764103"/>
    <w:rsid w:val="00766259"/>
    <w:rsid w:val="007666E5"/>
    <w:rsid w:val="00766883"/>
    <w:rsid w:val="007679C5"/>
    <w:rsid w:val="00767A03"/>
    <w:rsid w:val="0077081A"/>
    <w:rsid w:val="00772F02"/>
    <w:rsid w:val="007730BE"/>
    <w:rsid w:val="00773A03"/>
    <w:rsid w:val="0077460D"/>
    <w:rsid w:val="00774D78"/>
    <w:rsid w:val="00776C0B"/>
    <w:rsid w:val="0078318C"/>
    <w:rsid w:val="00784453"/>
    <w:rsid w:val="007847B2"/>
    <w:rsid w:val="00784A08"/>
    <w:rsid w:val="007863E0"/>
    <w:rsid w:val="00791014"/>
    <w:rsid w:val="007916F7"/>
    <w:rsid w:val="00791F5D"/>
    <w:rsid w:val="0079201A"/>
    <w:rsid w:val="00796B36"/>
    <w:rsid w:val="0079754B"/>
    <w:rsid w:val="007A0D2E"/>
    <w:rsid w:val="007A31F3"/>
    <w:rsid w:val="007A3937"/>
    <w:rsid w:val="007A42F0"/>
    <w:rsid w:val="007A4715"/>
    <w:rsid w:val="007A58B1"/>
    <w:rsid w:val="007B0E81"/>
    <w:rsid w:val="007B21B5"/>
    <w:rsid w:val="007B306F"/>
    <w:rsid w:val="007B3701"/>
    <w:rsid w:val="007B623D"/>
    <w:rsid w:val="007B75E5"/>
    <w:rsid w:val="007B7D26"/>
    <w:rsid w:val="007C0AFB"/>
    <w:rsid w:val="007C2ADD"/>
    <w:rsid w:val="007C58AD"/>
    <w:rsid w:val="007C6E74"/>
    <w:rsid w:val="007C78A9"/>
    <w:rsid w:val="007D0D22"/>
    <w:rsid w:val="007D11A4"/>
    <w:rsid w:val="007D1F4A"/>
    <w:rsid w:val="007D2098"/>
    <w:rsid w:val="007D2E5B"/>
    <w:rsid w:val="007D3FC8"/>
    <w:rsid w:val="007D4A3E"/>
    <w:rsid w:val="007D546A"/>
    <w:rsid w:val="007E0ABF"/>
    <w:rsid w:val="007E4179"/>
    <w:rsid w:val="007E42DC"/>
    <w:rsid w:val="007E7C79"/>
    <w:rsid w:val="007F0072"/>
    <w:rsid w:val="007F1285"/>
    <w:rsid w:val="007F2104"/>
    <w:rsid w:val="007F33C0"/>
    <w:rsid w:val="007F6C7C"/>
    <w:rsid w:val="007F74E7"/>
    <w:rsid w:val="00802439"/>
    <w:rsid w:val="008035C9"/>
    <w:rsid w:val="00804F58"/>
    <w:rsid w:val="00807694"/>
    <w:rsid w:val="00811D11"/>
    <w:rsid w:val="00812EC8"/>
    <w:rsid w:val="00814381"/>
    <w:rsid w:val="0081547E"/>
    <w:rsid w:val="00816959"/>
    <w:rsid w:val="008178BE"/>
    <w:rsid w:val="00817A39"/>
    <w:rsid w:val="00820FDD"/>
    <w:rsid w:val="00822A05"/>
    <w:rsid w:val="00822E78"/>
    <w:rsid w:val="008236A2"/>
    <w:rsid w:val="0082370F"/>
    <w:rsid w:val="0082502A"/>
    <w:rsid w:val="00825A32"/>
    <w:rsid w:val="00827103"/>
    <w:rsid w:val="00830653"/>
    <w:rsid w:val="008317B8"/>
    <w:rsid w:val="008335CA"/>
    <w:rsid w:val="00833C54"/>
    <w:rsid w:val="00834140"/>
    <w:rsid w:val="00834908"/>
    <w:rsid w:val="00835FB7"/>
    <w:rsid w:val="0084272B"/>
    <w:rsid w:val="00851856"/>
    <w:rsid w:val="00853BAB"/>
    <w:rsid w:val="00853F89"/>
    <w:rsid w:val="008559A8"/>
    <w:rsid w:val="0085656F"/>
    <w:rsid w:val="00860DB5"/>
    <w:rsid w:val="00860EF9"/>
    <w:rsid w:val="00861A07"/>
    <w:rsid w:val="008626EA"/>
    <w:rsid w:val="00862AFD"/>
    <w:rsid w:val="00863782"/>
    <w:rsid w:val="00864E76"/>
    <w:rsid w:val="00867ECC"/>
    <w:rsid w:val="008702C3"/>
    <w:rsid w:val="00875B13"/>
    <w:rsid w:val="00875C2A"/>
    <w:rsid w:val="00876426"/>
    <w:rsid w:val="00876E25"/>
    <w:rsid w:val="008823B7"/>
    <w:rsid w:val="0088421D"/>
    <w:rsid w:val="008908AF"/>
    <w:rsid w:val="00894878"/>
    <w:rsid w:val="00895232"/>
    <w:rsid w:val="00895A81"/>
    <w:rsid w:val="00895F15"/>
    <w:rsid w:val="00896BF8"/>
    <w:rsid w:val="008A0F6D"/>
    <w:rsid w:val="008A12AF"/>
    <w:rsid w:val="008A1403"/>
    <w:rsid w:val="008A1612"/>
    <w:rsid w:val="008A258D"/>
    <w:rsid w:val="008A2D5A"/>
    <w:rsid w:val="008A2F1A"/>
    <w:rsid w:val="008A330E"/>
    <w:rsid w:val="008A5123"/>
    <w:rsid w:val="008A7B8F"/>
    <w:rsid w:val="008B3191"/>
    <w:rsid w:val="008B3268"/>
    <w:rsid w:val="008B4188"/>
    <w:rsid w:val="008B45D4"/>
    <w:rsid w:val="008B6F1A"/>
    <w:rsid w:val="008C0D37"/>
    <w:rsid w:val="008C1D7A"/>
    <w:rsid w:val="008C2166"/>
    <w:rsid w:val="008C4F50"/>
    <w:rsid w:val="008C60EF"/>
    <w:rsid w:val="008C7432"/>
    <w:rsid w:val="008D08CF"/>
    <w:rsid w:val="008D0B8D"/>
    <w:rsid w:val="008D0FCC"/>
    <w:rsid w:val="008D36DC"/>
    <w:rsid w:val="008D5CB6"/>
    <w:rsid w:val="008D66E4"/>
    <w:rsid w:val="008D7D50"/>
    <w:rsid w:val="008D7F92"/>
    <w:rsid w:val="008E056E"/>
    <w:rsid w:val="008E5CB6"/>
    <w:rsid w:val="008E61B6"/>
    <w:rsid w:val="008E729C"/>
    <w:rsid w:val="008F55D9"/>
    <w:rsid w:val="008F5C7F"/>
    <w:rsid w:val="008F5E78"/>
    <w:rsid w:val="008F7F10"/>
    <w:rsid w:val="00901B9E"/>
    <w:rsid w:val="00902BC5"/>
    <w:rsid w:val="00904636"/>
    <w:rsid w:val="0090663D"/>
    <w:rsid w:val="00911213"/>
    <w:rsid w:val="00912209"/>
    <w:rsid w:val="009129E3"/>
    <w:rsid w:val="00915540"/>
    <w:rsid w:val="00915D72"/>
    <w:rsid w:val="00916580"/>
    <w:rsid w:val="00917AAF"/>
    <w:rsid w:val="0092189B"/>
    <w:rsid w:val="00921DFD"/>
    <w:rsid w:val="00921FF6"/>
    <w:rsid w:val="009246DE"/>
    <w:rsid w:val="00924C9E"/>
    <w:rsid w:val="0092646A"/>
    <w:rsid w:val="00927CC0"/>
    <w:rsid w:val="00941227"/>
    <w:rsid w:val="009417D0"/>
    <w:rsid w:val="009440F2"/>
    <w:rsid w:val="00944DB7"/>
    <w:rsid w:val="00947607"/>
    <w:rsid w:val="00947F0B"/>
    <w:rsid w:val="0095157D"/>
    <w:rsid w:val="00952569"/>
    <w:rsid w:val="00952BDF"/>
    <w:rsid w:val="0095453C"/>
    <w:rsid w:val="00955C8E"/>
    <w:rsid w:val="00955E36"/>
    <w:rsid w:val="00956111"/>
    <w:rsid w:val="00956217"/>
    <w:rsid w:val="009600C2"/>
    <w:rsid w:val="00960539"/>
    <w:rsid w:val="00961CA2"/>
    <w:rsid w:val="009624D3"/>
    <w:rsid w:val="00963CD5"/>
    <w:rsid w:val="00964708"/>
    <w:rsid w:val="009654D7"/>
    <w:rsid w:val="0097101B"/>
    <w:rsid w:val="00972807"/>
    <w:rsid w:val="00973270"/>
    <w:rsid w:val="00973BB7"/>
    <w:rsid w:val="009744DA"/>
    <w:rsid w:val="009749D2"/>
    <w:rsid w:val="0097546D"/>
    <w:rsid w:val="00975B00"/>
    <w:rsid w:val="00975C9B"/>
    <w:rsid w:val="009770B5"/>
    <w:rsid w:val="009779A4"/>
    <w:rsid w:val="009814D6"/>
    <w:rsid w:val="00981805"/>
    <w:rsid w:val="0098322B"/>
    <w:rsid w:val="00983B67"/>
    <w:rsid w:val="009875F0"/>
    <w:rsid w:val="00990D3E"/>
    <w:rsid w:val="00991D6E"/>
    <w:rsid w:val="00993131"/>
    <w:rsid w:val="009939A6"/>
    <w:rsid w:val="00996241"/>
    <w:rsid w:val="00996244"/>
    <w:rsid w:val="00997C51"/>
    <w:rsid w:val="009A056A"/>
    <w:rsid w:val="009A2C61"/>
    <w:rsid w:val="009A32E7"/>
    <w:rsid w:val="009A4EF8"/>
    <w:rsid w:val="009A59A5"/>
    <w:rsid w:val="009A79B3"/>
    <w:rsid w:val="009A7CC2"/>
    <w:rsid w:val="009B0663"/>
    <w:rsid w:val="009B3775"/>
    <w:rsid w:val="009B59D8"/>
    <w:rsid w:val="009C0038"/>
    <w:rsid w:val="009C04F6"/>
    <w:rsid w:val="009C2019"/>
    <w:rsid w:val="009C343D"/>
    <w:rsid w:val="009D07BC"/>
    <w:rsid w:val="009D4002"/>
    <w:rsid w:val="009D46C7"/>
    <w:rsid w:val="009D6A2E"/>
    <w:rsid w:val="009E1C72"/>
    <w:rsid w:val="009E1EF2"/>
    <w:rsid w:val="009E3942"/>
    <w:rsid w:val="009E45C5"/>
    <w:rsid w:val="009E50A6"/>
    <w:rsid w:val="009E6115"/>
    <w:rsid w:val="009E638E"/>
    <w:rsid w:val="009E67C3"/>
    <w:rsid w:val="009E686D"/>
    <w:rsid w:val="009E7BC1"/>
    <w:rsid w:val="009F1407"/>
    <w:rsid w:val="009F3847"/>
    <w:rsid w:val="009F413B"/>
    <w:rsid w:val="009F4645"/>
    <w:rsid w:val="009F6199"/>
    <w:rsid w:val="009F7BD9"/>
    <w:rsid w:val="009F7C0A"/>
    <w:rsid w:val="00A00AD4"/>
    <w:rsid w:val="00A0130D"/>
    <w:rsid w:val="00A05445"/>
    <w:rsid w:val="00A0545A"/>
    <w:rsid w:val="00A05BF3"/>
    <w:rsid w:val="00A07453"/>
    <w:rsid w:val="00A07DDD"/>
    <w:rsid w:val="00A120B8"/>
    <w:rsid w:val="00A120EB"/>
    <w:rsid w:val="00A13FEB"/>
    <w:rsid w:val="00A14D79"/>
    <w:rsid w:val="00A15736"/>
    <w:rsid w:val="00A16F05"/>
    <w:rsid w:val="00A1717E"/>
    <w:rsid w:val="00A17EC6"/>
    <w:rsid w:val="00A21A9D"/>
    <w:rsid w:val="00A225CB"/>
    <w:rsid w:val="00A235D2"/>
    <w:rsid w:val="00A243EF"/>
    <w:rsid w:val="00A25366"/>
    <w:rsid w:val="00A25600"/>
    <w:rsid w:val="00A26B35"/>
    <w:rsid w:val="00A2792B"/>
    <w:rsid w:val="00A27D65"/>
    <w:rsid w:val="00A33134"/>
    <w:rsid w:val="00A348F7"/>
    <w:rsid w:val="00A34F5D"/>
    <w:rsid w:val="00A40C40"/>
    <w:rsid w:val="00A4168A"/>
    <w:rsid w:val="00A4197B"/>
    <w:rsid w:val="00A45AA4"/>
    <w:rsid w:val="00A45D2F"/>
    <w:rsid w:val="00A5158F"/>
    <w:rsid w:val="00A520CC"/>
    <w:rsid w:val="00A54461"/>
    <w:rsid w:val="00A54478"/>
    <w:rsid w:val="00A56DD7"/>
    <w:rsid w:val="00A571E3"/>
    <w:rsid w:val="00A61383"/>
    <w:rsid w:val="00A6373D"/>
    <w:rsid w:val="00A63802"/>
    <w:rsid w:val="00A639C4"/>
    <w:rsid w:val="00A63FCD"/>
    <w:rsid w:val="00A70EA7"/>
    <w:rsid w:val="00A7166E"/>
    <w:rsid w:val="00A7267E"/>
    <w:rsid w:val="00A73A7E"/>
    <w:rsid w:val="00A775B2"/>
    <w:rsid w:val="00A80F7B"/>
    <w:rsid w:val="00A81DA9"/>
    <w:rsid w:val="00A83C83"/>
    <w:rsid w:val="00A8626E"/>
    <w:rsid w:val="00A86A2A"/>
    <w:rsid w:val="00A86CCC"/>
    <w:rsid w:val="00A8738B"/>
    <w:rsid w:val="00A877B4"/>
    <w:rsid w:val="00A90528"/>
    <w:rsid w:val="00A908B6"/>
    <w:rsid w:val="00A94192"/>
    <w:rsid w:val="00A943AF"/>
    <w:rsid w:val="00A94952"/>
    <w:rsid w:val="00A94980"/>
    <w:rsid w:val="00A96223"/>
    <w:rsid w:val="00A964FA"/>
    <w:rsid w:val="00A969FE"/>
    <w:rsid w:val="00A97324"/>
    <w:rsid w:val="00A97393"/>
    <w:rsid w:val="00A97400"/>
    <w:rsid w:val="00A974D0"/>
    <w:rsid w:val="00AA0863"/>
    <w:rsid w:val="00AA254B"/>
    <w:rsid w:val="00AA4D40"/>
    <w:rsid w:val="00AA4E0D"/>
    <w:rsid w:val="00AA5E82"/>
    <w:rsid w:val="00AA6287"/>
    <w:rsid w:val="00AB08DC"/>
    <w:rsid w:val="00AB0E7C"/>
    <w:rsid w:val="00AB162B"/>
    <w:rsid w:val="00AB5346"/>
    <w:rsid w:val="00AB561A"/>
    <w:rsid w:val="00AB729C"/>
    <w:rsid w:val="00AC0C25"/>
    <w:rsid w:val="00AC3C2E"/>
    <w:rsid w:val="00AC70E8"/>
    <w:rsid w:val="00AD00DA"/>
    <w:rsid w:val="00AD037F"/>
    <w:rsid w:val="00AD044E"/>
    <w:rsid w:val="00AD402F"/>
    <w:rsid w:val="00AD517F"/>
    <w:rsid w:val="00AD75E3"/>
    <w:rsid w:val="00AE0159"/>
    <w:rsid w:val="00AE23DE"/>
    <w:rsid w:val="00AE385C"/>
    <w:rsid w:val="00AE39E4"/>
    <w:rsid w:val="00AE4055"/>
    <w:rsid w:val="00AE6523"/>
    <w:rsid w:val="00AE6604"/>
    <w:rsid w:val="00AE7A9C"/>
    <w:rsid w:val="00AF1EC1"/>
    <w:rsid w:val="00AF37FC"/>
    <w:rsid w:val="00AF6834"/>
    <w:rsid w:val="00AF6890"/>
    <w:rsid w:val="00AF6ABF"/>
    <w:rsid w:val="00B01729"/>
    <w:rsid w:val="00B01861"/>
    <w:rsid w:val="00B0353D"/>
    <w:rsid w:val="00B03AD7"/>
    <w:rsid w:val="00B04608"/>
    <w:rsid w:val="00B055E0"/>
    <w:rsid w:val="00B05DB2"/>
    <w:rsid w:val="00B076E3"/>
    <w:rsid w:val="00B079F4"/>
    <w:rsid w:val="00B121B6"/>
    <w:rsid w:val="00B134CB"/>
    <w:rsid w:val="00B135ED"/>
    <w:rsid w:val="00B13AE7"/>
    <w:rsid w:val="00B140ED"/>
    <w:rsid w:val="00B145A6"/>
    <w:rsid w:val="00B170F8"/>
    <w:rsid w:val="00B22FEA"/>
    <w:rsid w:val="00B257BF"/>
    <w:rsid w:val="00B259C6"/>
    <w:rsid w:val="00B26654"/>
    <w:rsid w:val="00B31F2E"/>
    <w:rsid w:val="00B33C80"/>
    <w:rsid w:val="00B374F9"/>
    <w:rsid w:val="00B4082B"/>
    <w:rsid w:val="00B40A57"/>
    <w:rsid w:val="00B40A94"/>
    <w:rsid w:val="00B4286F"/>
    <w:rsid w:val="00B44A3E"/>
    <w:rsid w:val="00B452B0"/>
    <w:rsid w:val="00B47584"/>
    <w:rsid w:val="00B5235B"/>
    <w:rsid w:val="00B5267D"/>
    <w:rsid w:val="00B53052"/>
    <w:rsid w:val="00B55DA1"/>
    <w:rsid w:val="00B55EF3"/>
    <w:rsid w:val="00B56B71"/>
    <w:rsid w:val="00B61E43"/>
    <w:rsid w:val="00B63E00"/>
    <w:rsid w:val="00B65146"/>
    <w:rsid w:val="00B66710"/>
    <w:rsid w:val="00B71D41"/>
    <w:rsid w:val="00B73AE4"/>
    <w:rsid w:val="00B7495E"/>
    <w:rsid w:val="00B759EF"/>
    <w:rsid w:val="00B81372"/>
    <w:rsid w:val="00B8195D"/>
    <w:rsid w:val="00B8362F"/>
    <w:rsid w:val="00B83A88"/>
    <w:rsid w:val="00B868CF"/>
    <w:rsid w:val="00B8698C"/>
    <w:rsid w:val="00B910F7"/>
    <w:rsid w:val="00B927B0"/>
    <w:rsid w:val="00B963D5"/>
    <w:rsid w:val="00B96D51"/>
    <w:rsid w:val="00BA13E4"/>
    <w:rsid w:val="00BA1866"/>
    <w:rsid w:val="00BA1D87"/>
    <w:rsid w:val="00BA1F77"/>
    <w:rsid w:val="00BA2276"/>
    <w:rsid w:val="00BA2480"/>
    <w:rsid w:val="00BA30D4"/>
    <w:rsid w:val="00BA73DC"/>
    <w:rsid w:val="00BB06FA"/>
    <w:rsid w:val="00BB1EBC"/>
    <w:rsid w:val="00BB29A0"/>
    <w:rsid w:val="00BB2B82"/>
    <w:rsid w:val="00BB3451"/>
    <w:rsid w:val="00BB4244"/>
    <w:rsid w:val="00BB4D3B"/>
    <w:rsid w:val="00BB6CB1"/>
    <w:rsid w:val="00BB73FA"/>
    <w:rsid w:val="00BB7991"/>
    <w:rsid w:val="00BB7D33"/>
    <w:rsid w:val="00BC1B51"/>
    <w:rsid w:val="00BC21A0"/>
    <w:rsid w:val="00BC7C27"/>
    <w:rsid w:val="00BD1D6A"/>
    <w:rsid w:val="00BD212E"/>
    <w:rsid w:val="00BD36B6"/>
    <w:rsid w:val="00BD43AF"/>
    <w:rsid w:val="00BD44D2"/>
    <w:rsid w:val="00BD5E8D"/>
    <w:rsid w:val="00BD5EA0"/>
    <w:rsid w:val="00BD6E4C"/>
    <w:rsid w:val="00BD79E8"/>
    <w:rsid w:val="00BE00F9"/>
    <w:rsid w:val="00BE0A9F"/>
    <w:rsid w:val="00BE11F2"/>
    <w:rsid w:val="00BE277F"/>
    <w:rsid w:val="00BE2E09"/>
    <w:rsid w:val="00BE350F"/>
    <w:rsid w:val="00BE3623"/>
    <w:rsid w:val="00BE3B27"/>
    <w:rsid w:val="00BE4E24"/>
    <w:rsid w:val="00BE4EB0"/>
    <w:rsid w:val="00BE523B"/>
    <w:rsid w:val="00BE6618"/>
    <w:rsid w:val="00BE70C7"/>
    <w:rsid w:val="00BF14EF"/>
    <w:rsid w:val="00BF26E7"/>
    <w:rsid w:val="00BF2D72"/>
    <w:rsid w:val="00BF3C68"/>
    <w:rsid w:val="00BF550D"/>
    <w:rsid w:val="00BF5BA6"/>
    <w:rsid w:val="00C00BA7"/>
    <w:rsid w:val="00C00C6F"/>
    <w:rsid w:val="00C0207E"/>
    <w:rsid w:val="00C06BF8"/>
    <w:rsid w:val="00C06E94"/>
    <w:rsid w:val="00C10864"/>
    <w:rsid w:val="00C12EF5"/>
    <w:rsid w:val="00C14C5B"/>
    <w:rsid w:val="00C16779"/>
    <w:rsid w:val="00C22E87"/>
    <w:rsid w:val="00C249A1"/>
    <w:rsid w:val="00C24A1D"/>
    <w:rsid w:val="00C25182"/>
    <w:rsid w:val="00C270BE"/>
    <w:rsid w:val="00C31B46"/>
    <w:rsid w:val="00C3224F"/>
    <w:rsid w:val="00C33C19"/>
    <w:rsid w:val="00C3697B"/>
    <w:rsid w:val="00C3753D"/>
    <w:rsid w:val="00C37607"/>
    <w:rsid w:val="00C430CB"/>
    <w:rsid w:val="00C43725"/>
    <w:rsid w:val="00C43841"/>
    <w:rsid w:val="00C46E32"/>
    <w:rsid w:val="00C47BCE"/>
    <w:rsid w:val="00C50F5F"/>
    <w:rsid w:val="00C51F48"/>
    <w:rsid w:val="00C550FF"/>
    <w:rsid w:val="00C55B92"/>
    <w:rsid w:val="00C55BA7"/>
    <w:rsid w:val="00C5727C"/>
    <w:rsid w:val="00C60545"/>
    <w:rsid w:val="00C60810"/>
    <w:rsid w:val="00C613E1"/>
    <w:rsid w:val="00C61762"/>
    <w:rsid w:val="00C63053"/>
    <w:rsid w:val="00C647CE"/>
    <w:rsid w:val="00C651D6"/>
    <w:rsid w:val="00C65655"/>
    <w:rsid w:val="00C66DAB"/>
    <w:rsid w:val="00C671A2"/>
    <w:rsid w:val="00C7069C"/>
    <w:rsid w:val="00C70C4B"/>
    <w:rsid w:val="00C71A1D"/>
    <w:rsid w:val="00C744D0"/>
    <w:rsid w:val="00C74D9B"/>
    <w:rsid w:val="00C7597A"/>
    <w:rsid w:val="00C80A8D"/>
    <w:rsid w:val="00C84823"/>
    <w:rsid w:val="00C85209"/>
    <w:rsid w:val="00C90EB3"/>
    <w:rsid w:val="00C90F2F"/>
    <w:rsid w:val="00C92857"/>
    <w:rsid w:val="00C92D57"/>
    <w:rsid w:val="00C94980"/>
    <w:rsid w:val="00C95E6D"/>
    <w:rsid w:val="00C95F4E"/>
    <w:rsid w:val="00C96B3C"/>
    <w:rsid w:val="00C96F67"/>
    <w:rsid w:val="00C977D2"/>
    <w:rsid w:val="00CA051C"/>
    <w:rsid w:val="00CA0E58"/>
    <w:rsid w:val="00CA25F4"/>
    <w:rsid w:val="00CA2DCB"/>
    <w:rsid w:val="00CA50B9"/>
    <w:rsid w:val="00CA545C"/>
    <w:rsid w:val="00CA589B"/>
    <w:rsid w:val="00CA5BA4"/>
    <w:rsid w:val="00CA7F76"/>
    <w:rsid w:val="00CB0644"/>
    <w:rsid w:val="00CB2B03"/>
    <w:rsid w:val="00CB702C"/>
    <w:rsid w:val="00CC2010"/>
    <w:rsid w:val="00CC345F"/>
    <w:rsid w:val="00CC35A8"/>
    <w:rsid w:val="00CC3C77"/>
    <w:rsid w:val="00CC422B"/>
    <w:rsid w:val="00CC5566"/>
    <w:rsid w:val="00CC79D9"/>
    <w:rsid w:val="00CC7A81"/>
    <w:rsid w:val="00CD1A8E"/>
    <w:rsid w:val="00CD211B"/>
    <w:rsid w:val="00CD2AC7"/>
    <w:rsid w:val="00CD555F"/>
    <w:rsid w:val="00CD5A1F"/>
    <w:rsid w:val="00CD66C0"/>
    <w:rsid w:val="00CD6AB2"/>
    <w:rsid w:val="00CD6CFE"/>
    <w:rsid w:val="00CE01F7"/>
    <w:rsid w:val="00CE0411"/>
    <w:rsid w:val="00CE169E"/>
    <w:rsid w:val="00CE1916"/>
    <w:rsid w:val="00CE1946"/>
    <w:rsid w:val="00CE5CF5"/>
    <w:rsid w:val="00CE65BE"/>
    <w:rsid w:val="00CF01E9"/>
    <w:rsid w:val="00CF14CF"/>
    <w:rsid w:val="00CF4829"/>
    <w:rsid w:val="00CF5819"/>
    <w:rsid w:val="00CF767F"/>
    <w:rsid w:val="00D00168"/>
    <w:rsid w:val="00D02985"/>
    <w:rsid w:val="00D04A82"/>
    <w:rsid w:val="00D05CF7"/>
    <w:rsid w:val="00D06DA9"/>
    <w:rsid w:val="00D11D3B"/>
    <w:rsid w:val="00D125D1"/>
    <w:rsid w:val="00D15042"/>
    <w:rsid w:val="00D150AA"/>
    <w:rsid w:val="00D15128"/>
    <w:rsid w:val="00D16F45"/>
    <w:rsid w:val="00D172D5"/>
    <w:rsid w:val="00D17432"/>
    <w:rsid w:val="00D2153F"/>
    <w:rsid w:val="00D22BB2"/>
    <w:rsid w:val="00D23ECC"/>
    <w:rsid w:val="00D247E8"/>
    <w:rsid w:val="00D248BA"/>
    <w:rsid w:val="00D24E59"/>
    <w:rsid w:val="00D2621F"/>
    <w:rsid w:val="00D27319"/>
    <w:rsid w:val="00D314EC"/>
    <w:rsid w:val="00D33B6F"/>
    <w:rsid w:val="00D33C6E"/>
    <w:rsid w:val="00D33CC3"/>
    <w:rsid w:val="00D34DE9"/>
    <w:rsid w:val="00D3699A"/>
    <w:rsid w:val="00D36ED3"/>
    <w:rsid w:val="00D371A7"/>
    <w:rsid w:val="00D4117E"/>
    <w:rsid w:val="00D43619"/>
    <w:rsid w:val="00D449C3"/>
    <w:rsid w:val="00D4632D"/>
    <w:rsid w:val="00D467DD"/>
    <w:rsid w:val="00D47328"/>
    <w:rsid w:val="00D47BD0"/>
    <w:rsid w:val="00D513E9"/>
    <w:rsid w:val="00D5152E"/>
    <w:rsid w:val="00D556E3"/>
    <w:rsid w:val="00D55AEC"/>
    <w:rsid w:val="00D563DE"/>
    <w:rsid w:val="00D56BFF"/>
    <w:rsid w:val="00D622AD"/>
    <w:rsid w:val="00D62EB1"/>
    <w:rsid w:val="00D64E52"/>
    <w:rsid w:val="00D64EBA"/>
    <w:rsid w:val="00D666A3"/>
    <w:rsid w:val="00D67C33"/>
    <w:rsid w:val="00D67F08"/>
    <w:rsid w:val="00D71007"/>
    <w:rsid w:val="00D7287E"/>
    <w:rsid w:val="00D73219"/>
    <w:rsid w:val="00D7335D"/>
    <w:rsid w:val="00D741AC"/>
    <w:rsid w:val="00D748F7"/>
    <w:rsid w:val="00D74C08"/>
    <w:rsid w:val="00D77AE9"/>
    <w:rsid w:val="00D82811"/>
    <w:rsid w:val="00D82859"/>
    <w:rsid w:val="00D8430D"/>
    <w:rsid w:val="00D85D2D"/>
    <w:rsid w:val="00D8700A"/>
    <w:rsid w:val="00D87DEC"/>
    <w:rsid w:val="00D90ABF"/>
    <w:rsid w:val="00D90F55"/>
    <w:rsid w:val="00D9118E"/>
    <w:rsid w:val="00D91677"/>
    <w:rsid w:val="00D918EF"/>
    <w:rsid w:val="00D91FBA"/>
    <w:rsid w:val="00D92180"/>
    <w:rsid w:val="00D9251A"/>
    <w:rsid w:val="00D92AB3"/>
    <w:rsid w:val="00D9396C"/>
    <w:rsid w:val="00D94680"/>
    <w:rsid w:val="00D9514F"/>
    <w:rsid w:val="00DA145F"/>
    <w:rsid w:val="00DA4032"/>
    <w:rsid w:val="00DA4492"/>
    <w:rsid w:val="00DB08B4"/>
    <w:rsid w:val="00DB3061"/>
    <w:rsid w:val="00DB45F4"/>
    <w:rsid w:val="00DB4C0D"/>
    <w:rsid w:val="00DB6E2D"/>
    <w:rsid w:val="00DC09A6"/>
    <w:rsid w:val="00DC1C84"/>
    <w:rsid w:val="00DC4AA4"/>
    <w:rsid w:val="00DC4B39"/>
    <w:rsid w:val="00DC558B"/>
    <w:rsid w:val="00DC5947"/>
    <w:rsid w:val="00DC60ED"/>
    <w:rsid w:val="00DD1064"/>
    <w:rsid w:val="00DD223C"/>
    <w:rsid w:val="00DD25A3"/>
    <w:rsid w:val="00DD5663"/>
    <w:rsid w:val="00DD6620"/>
    <w:rsid w:val="00DD776C"/>
    <w:rsid w:val="00DD7CB4"/>
    <w:rsid w:val="00DE1A14"/>
    <w:rsid w:val="00DE3E5D"/>
    <w:rsid w:val="00DE5515"/>
    <w:rsid w:val="00DF0934"/>
    <w:rsid w:val="00DF0C60"/>
    <w:rsid w:val="00DF1646"/>
    <w:rsid w:val="00DF3783"/>
    <w:rsid w:val="00DF4266"/>
    <w:rsid w:val="00DF57CA"/>
    <w:rsid w:val="00E02F88"/>
    <w:rsid w:val="00E04956"/>
    <w:rsid w:val="00E05233"/>
    <w:rsid w:val="00E0666C"/>
    <w:rsid w:val="00E10A99"/>
    <w:rsid w:val="00E1247B"/>
    <w:rsid w:val="00E1311C"/>
    <w:rsid w:val="00E13771"/>
    <w:rsid w:val="00E1505C"/>
    <w:rsid w:val="00E15B2A"/>
    <w:rsid w:val="00E17D27"/>
    <w:rsid w:val="00E24DDC"/>
    <w:rsid w:val="00E25C8D"/>
    <w:rsid w:val="00E344BA"/>
    <w:rsid w:val="00E351AE"/>
    <w:rsid w:val="00E35FD7"/>
    <w:rsid w:val="00E36DE9"/>
    <w:rsid w:val="00E373D0"/>
    <w:rsid w:val="00E37813"/>
    <w:rsid w:val="00E3792F"/>
    <w:rsid w:val="00E404BD"/>
    <w:rsid w:val="00E4156B"/>
    <w:rsid w:val="00E41604"/>
    <w:rsid w:val="00E43B8C"/>
    <w:rsid w:val="00E44493"/>
    <w:rsid w:val="00E44A82"/>
    <w:rsid w:val="00E459B4"/>
    <w:rsid w:val="00E4710D"/>
    <w:rsid w:val="00E50D05"/>
    <w:rsid w:val="00E5121D"/>
    <w:rsid w:val="00E521AD"/>
    <w:rsid w:val="00E55421"/>
    <w:rsid w:val="00E55495"/>
    <w:rsid w:val="00E56D38"/>
    <w:rsid w:val="00E6041B"/>
    <w:rsid w:val="00E621CA"/>
    <w:rsid w:val="00E6390A"/>
    <w:rsid w:val="00E6440E"/>
    <w:rsid w:val="00E64A58"/>
    <w:rsid w:val="00E65065"/>
    <w:rsid w:val="00E659EC"/>
    <w:rsid w:val="00E65B64"/>
    <w:rsid w:val="00E70A5C"/>
    <w:rsid w:val="00E71A5E"/>
    <w:rsid w:val="00E72E38"/>
    <w:rsid w:val="00E7389C"/>
    <w:rsid w:val="00E73E18"/>
    <w:rsid w:val="00E749C9"/>
    <w:rsid w:val="00E77EB9"/>
    <w:rsid w:val="00E816D0"/>
    <w:rsid w:val="00E81866"/>
    <w:rsid w:val="00E82B37"/>
    <w:rsid w:val="00E8362A"/>
    <w:rsid w:val="00E83E53"/>
    <w:rsid w:val="00E84721"/>
    <w:rsid w:val="00E84FBA"/>
    <w:rsid w:val="00E869D0"/>
    <w:rsid w:val="00E871BE"/>
    <w:rsid w:val="00E912DA"/>
    <w:rsid w:val="00E93215"/>
    <w:rsid w:val="00E948FB"/>
    <w:rsid w:val="00E9523F"/>
    <w:rsid w:val="00E9575D"/>
    <w:rsid w:val="00E95EA2"/>
    <w:rsid w:val="00EA078A"/>
    <w:rsid w:val="00EA0FB2"/>
    <w:rsid w:val="00EA37A9"/>
    <w:rsid w:val="00EA4A99"/>
    <w:rsid w:val="00EA4AF8"/>
    <w:rsid w:val="00EA4B46"/>
    <w:rsid w:val="00EA56F4"/>
    <w:rsid w:val="00EA6DA8"/>
    <w:rsid w:val="00EA6E20"/>
    <w:rsid w:val="00EB061D"/>
    <w:rsid w:val="00EB770B"/>
    <w:rsid w:val="00EC02CD"/>
    <w:rsid w:val="00EC0634"/>
    <w:rsid w:val="00EC0AAF"/>
    <w:rsid w:val="00EC0FB8"/>
    <w:rsid w:val="00EC2F4E"/>
    <w:rsid w:val="00EC37A3"/>
    <w:rsid w:val="00EC50B8"/>
    <w:rsid w:val="00EC62E5"/>
    <w:rsid w:val="00EC785F"/>
    <w:rsid w:val="00ED0714"/>
    <w:rsid w:val="00ED10B4"/>
    <w:rsid w:val="00ED19FD"/>
    <w:rsid w:val="00ED242D"/>
    <w:rsid w:val="00ED440F"/>
    <w:rsid w:val="00ED4E93"/>
    <w:rsid w:val="00ED5D9E"/>
    <w:rsid w:val="00EE0337"/>
    <w:rsid w:val="00EE395E"/>
    <w:rsid w:val="00EE565F"/>
    <w:rsid w:val="00EE7127"/>
    <w:rsid w:val="00EF20D1"/>
    <w:rsid w:val="00EF34B4"/>
    <w:rsid w:val="00EF3676"/>
    <w:rsid w:val="00EF4B82"/>
    <w:rsid w:val="00EF4C27"/>
    <w:rsid w:val="00EF7871"/>
    <w:rsid w:val="00EF79C5"/>
    <w:rsid w:val="00F00D0F"/>
    <w:rsid w:val="00F026FC"/>
    <w:rsid w:val="00F02FDF"/>
    <w:rsid w:val="00F03676"/>
    <w:rsid w:val="00F0695C"/>
    <w:rsid w:val="00F07436"/>
    <w:rsid w:val="00F0747B"/>
    <w:rsid w:val="00F16F4C"/>
    <w:rsid w:val="00F2054F"/>
    <w:rsid w:val="00F205BC"/>
    <w:rsid w:val="00F21C65"/>
    <w:rsid w:val="00F222DF"/>
    <w:rsid w:val="00F23068"/>
    <w:rsid w:val="00F24508"/>
    <w:rsid w:val="00F25AB9"/>
    <w:rsid w:val="00F273AC"/>
    <w:rsid w:val="00F33383"/>
    <w:rsid w:val="00F34007"/>
    <w:rsid w:val="00F34B96"/>
    <w:rsid w:val="00F374A6"/>
    <w:rsid w:val="00F40434"/>
    <w:rsid w:val="00F42513"/>
    <w:rsid w:val="00F436D7"/>
    <w:rsid w:val="00F45E49"/>
    <w:rsid w:val="00F53977"/>
    <w:rsid w:val="00F53B66"/>
    <w:rsid w:val="00F563B9"/>
    <w:rsid w:val="00F57BD4"/>
    <w:rsid w:val="00F610C0"/>
    <w:rsid w:val="00F61B7D"/>
    <w:rsid w:val="00F67537"/>
    <w:rsid w:val="00F725C4"/>
    <w:rsid w:val="00F72D33"/>
    <w:rsid w:val="00F72DDC"/>
    <w:rsid w:val="00F73538"/>
    <w:rsid w:val="00F766D9"/>
    <w:rsid w:val="00F76E5E"/>
    <w:rsid w:val="00F80B6C"/>
    <w:rsid w:val="00F82A6D"/>
    <w:rsid w:val="00F843EA"/>
    <w:rsid w:val="00F872A5"/>
    <w:rsid w:val="00F9195B"/>
    <w:rsid w:val="00F9282B"/>
    <w:rsid w:val="00F964CE"/>
    <w:rsid w:val="00F96556"/>
    <w:rsid w:val="00FA34C1"/>
    <w:rsid w:val="00FA4010"/>
    <w:rsid w:val="00FA580F"/>
    <w:rsid w:val="00FA6599"/>
    <w:rsid w:val="00FB138E"/>
    <w:rsid w:val="00FB185F"/>
    <w:rsid w:val="00FB21C3"/>
    <w:rsid w:val="00FB2B10"/>
    <w:rsid w:val="00FB40D4"/>
    <w:rsid w:val="00FB6F1F"/>
    <w:rsid w:val="00FB6FB2"/>
    <w:rsid w:val="00FB7B71"/>
    <w:rsid w:val="00FC0142"/>
    <w:rsid w:val="00FC094B"/>
    <w:rsid w:val="00FC139C"/>
    <w:rsid w:val="00FC21C6"/>
    <w:rsid w:val="00FC4369"/>
    <w:rsid w:val="00FC49FF"/>
    <w:rsid w:val="00FC75A4"/>
    <w:rsid w:val="00FC7CCD"/>
    <w:rsid w:val="00FD0CAC"/>
    <w:rsid w:val="00FD1C57"/>
    <w:rsid w:val="00FD384C"/>
    <w:rsid w:val="00FD607D"/>
    <w:rsid w:val="00FD6A15"/>
    <w:rsid w:val="00FE0B57"/>
    <w:rsid w:val="00FE28C6"/>
    <w:rsid w:val="00FE4DA9"/>
    <w:rsid w:val="00FE6C6A"/>
    <w:rsid w:val="00FE7462"/>
    <w:rsid w:val="00FF275E"/>
    <w:rsid w:val="00FF5A4A"/>
    <w:rsid w:val="00FF6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CEE0"/>
  <w15:chartTrackingRefBased/>
  <w15:docId w15:val="{1635A7DE-C6BC-4700-B909-1A5C2881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5B"/>
    <w:pPr>
      <w:ind w:left="720"/>
      <w:contextualSpacing/>
    </w:pPr>
  </w:style>
  <w:style w:type="paragraph" w:styleId="Header">
    <w:name w:val="header"/>
    <w:basedOn w:val="Normal"/>
    <w:link w:val="HeaderChar"/>
    <w:uiPriority w:val="99"/>
    <w:unhideWhenUsed/>
    <w:rsid w:val="00783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8C"/>
  </w:style>
  <w:style w:type="paragraph" w:styleId="Footer">
    <w:name w:val="footer"/>
    <w:basedOn w:val="Normal"/>
    <w:link w:val="FooterChar"/>
    <w:uiPriority w:val="99"/>
    <w:unhideWhenUsed/>
    <w:rsid w:val="00783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8C"/>
  </w:style>
  <w:style w:type="paragraph" w:styleId="Revision">
    <w:name w:val="Revision"/>
    <w:hidden/>
    <w:uiPriority w:val="99"/>
    <w:semiHidden/>
    <w:rsid w:val="00071340"/>
    <w:pPr>
      <w:spacing w:after="0" w:line="240" w:lineRule="auto"/>
    </w:pPr>
  </w:style>
  <w:style w:type="character" w:styleId="CommentReference">
    <w:name w:val="annotation reference"/>
    <w:basedOn w:val="DefaultParagraphFont"/>
    <w:uiPriority w:val="99"/>
    <w:semiHidden/>
    <w:unhideWhenUsed/>
    <w:rsid w:val="00D748F7"/>
    <w:rPr>
      <w:sz w:val="16"/>
      <w:szCs w:val="16"/>
    </w:rPr>
  </w:style>
  <w:style w:type="paragraph" w:styleId="CommentText">
    <w:name w:val="annotation text"/>
    <w:basedOn w:val="Normal"/>
    <w:link w:val="CommentTextChar"/>
    <w:uiPriority w:val="99"/>
    <w:unhideWhenUsed/>
    <w:rsid w:val="00D748F7"/>
    <w:pPr>
      <w:spacing w:line="240" w:lineRule="auto"/>
    </w:pPr>
    <w:rPr>
      <w:sz w:val="20"/>
      <w:szCs w:val="20"/>
    </w:rPr>
  </w:style>
  <w:style w:type="character" w:customStyle="1" w:styleId="CommentTextChar">
    <w:name w:val="Comment Text Char"/>
    <w:basedOn w:val="DefaultParagraphFont"/>
    <w:link w:val="CommentText"/>
    <w:uiPriority w:val="99"/>
    <w:rsid w:val="00D748F7"/>
    <w:rPr>
      <w:sz w:val="20"/>
      <w:szCs w:val="20"/>
    </w:rPr>
  </w:style>
  <w:style w:type="paragraph" w:styleId="CommentSubject">
    <w:name w:val="annotation subject"/>
    <w:basedOn w:val="CommentText"/>
    <w:next w:val="CommentText"/>
    <w:link w:val="CommentSubjectChar"/>
    <w:uiPriority w:val="99"/>
    <w:semiHidden/>
    <w:unhideWhenUsed/>
    <w:rsid w:val="00D748F7"/>
    <w:rPr>
      <w:b/>
      <w:bCs/>
    </w:rPr>
  </w:style>
  <w:style w:type="character" w:customStyle="1" w:styleId="CommentSubjectChar">
    <w:name w:val="Comment Subject Char"/>
    <w:basedOn w:val="CommentTextChar"/>
    <w:link w:val="CommentSubject"/>
    <w:uiPriority w:val="99"/>
    <w:semiHidden/>
    <w:rsid w:val="00D748F7"/>
    <w:rPr>
      <w:b/>
      <w:bCs/>
      <w:sz w:val="20"/>
      <w:szCs w:val="20"/>
    </w:rPr>
  </w:style>
  <w:style w:type="paragraph" w:styleId="FootnoteText">
    <w:name w:val="footnote text"/>
    <w:basedOn w:val="Normal"/>
    <w:link w:val="FootnoteTextChar"/>
    <w:uiPriority w:val="99"/>
    <w:unhideWhenUsed/>
    <w:rsid w:val="00FD6A15"/>
    <w:pPr>
      <w:spacing w:after="0" w:line="240" w:lineRule="auto"/>
    </w:pPr>
    <w:rPr>
      <w:sz w:val="20"/>
      <w:szCs w:val="20"/>
    </w:rPr>
  </w:style>
  <w:style w:type="character" w:customStyle="1" w:styleId="FootnoteTextChar">
    <w:name w:val="Footnote Text Char"/>
    <w:basedOn w:val="DefaultParagraphFont"/>
    <w:link w:val="FootnoteText"/>
    <w:uiPriority w:val="99"/>
    <w:rsid w:val="00FD6A15"/>
    <w:rPr>
      <w:sz w:val="20"/>
      <w:szCs w:val="20"/>
    </w:rPr>
  </w:style>
  <w:style w:type="character" w:styleId="FootnoteReference">
    <w:name w:val="footnote reference"/>
    <w:basedOn w:val="DefaultParagraphFont"/>
    <w:uiPriority w:val="99"/>
    <w:semiHidden/>
    <w:unhideWhenUsed/>
    <w:rsid w:val="00FD6A15"/>
    <w:rPr>
      <w:vertAlign w:val="superscript"/>
    </w:rPr>
  </w:style>
  <w:style w:type="character" w:styleId="Hyperlink">
    <w:name w:val="Hyperlink"/>
    <w:basedOn w:val="DefaultParagraphFont"/>
    <w:uiPriority w:val="99"/>
    <w:unhideWhenUsed/>
    <w:rsid w:val="00FD6A15"/>
    <w:rPr>
      <w:color w:val="0563C1" w:themeColor="hyperlink"/>
      <w:u w:val="single"/>
    </w:rPr>
  </w:style>
  <w:style w:type="character" w:styleId="UnresolvedMention">
    <w:name w:val="Unresolved Mention"/>
    <w:basedOn w:val="DefaultParagraphFont"/>
    <w:uiPriority w:val="99"/>
    <w:semiHidden/>
    <w:unhideWhenUsed/>
    <w:rsid w:val="00FD6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nergy-security-bill-factsheets/energy-security-bill-factsheet-network-charging-compensation-scheme-for-energy-intensive-industr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95296/CEPA_BEISNetworkChargesAllocation_FinalReport_201903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419EFB08951040A7F7E5A59035E04D" ma:contentTypeVersion="4" ma:contentTypeDescription="Create a new document." ma:contentTypeScope="" ma:versionID="880d634e6d26476399e1ba56175a0bc0">
  <xsd:schema xmlns:xsd="http://www.w3.org/2001/XMLSchema" xmlns:xs="http://www.w3.org/2001/XMLSchema" xmlns:p="http://schemas.microsoft.com/office/2006/metadata/properties" xmlns:ns2="96c9852c-64e2-4411-bb5f-13601233feb5" targetNamespace="http://schemas.microsoft.com/office/2006/metadata/properties" ma:root="true" ma:fieldsID="e41a18cfdbe0465b75a3e89bc8228a16" ns2:_="">
    <xsd:import namespace="96c9852c-64e2-4411-bb5f-13601233f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9852c-64e2-4411-bb5f-13601233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E716-550F-49D0-9648-4D90D77E4327}">
  <ds:schemaRefs>
    <ds:schemaRef ds:uri="http://schemas.microsoft.com/sharepoint/v3/contenttype/forms"/>
  </ds:schemaRefs>
</ds:datastoreItem>
</file>

<file path=customXml/itemProps2.xml><?xml version="1.0" encoding="utf-8"?>
<ds:datastoreItem xmlns:ds="http://schemas.openxmlformats.org/officeDocument/2006/customXml" ds:itemID="{F76EDDD1-0CAF-4A2E-97A7-4FEB34993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9852c-64e2-4411-bb5f-13601233f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12AAF-1C4D-48DB-9531-EB563BBC3C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77BA61-2A44-489B-A6BB-D9ED8F1E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Geveke</dc:creator>
  <cp:keywords/>
  <dc:description/>
  <cp:lastModifiedBy>Arjan Geveke</cp:lastModifiedBy>
  <cp:revision>3</cp:revision>
  <dcterms:created xsi:type="dcterms:W3CDTF">2023-07-21T14:03:00Z</dcterms:created>
  <dcterms:modified xsi:type="dcterms:W3CDTF">2023-07-21T14:04:00Z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0x010100A0419EFB08951040A7F7E5A59035E04D</vt:lpwstr>
  </property>
  <property fmtid="{D5CDD505-2E9C-101B-9397-08002B2CF9AE}" pid="3" name="Order">
    <vt:r8>34900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